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651F" w:rsidRDefault="004975AE" w:rsidP="00A33DB2">
      <w:pPr>
        <w:jc w:val="center"/>
        <w:rPr>
          <w:noProof/>
          <w:lang w:val="en-IE" w:eastAsia="en-IE"/>
        </w:rPr>
      </w:pPr>
      <w:bookmarkStart w:id="0" w:name="_GoBack"/>
      <w:bookmarkEnd w:id="0"/>
      <w:r w:rsidRPr="00DF3308">
        <w:rPr>
          <w:noProof/>
          <w:lang w:val="en-IE" w:eastAsia="en-IE"/>
        </w:rPr>
        <w:drawing>
          <wp:inline distT="0" distB="0" distL="0" distR="0" wp14:anchorId="621957B7" wp14:editId="0146F674">
            <wp:extent cx="1895475" cy="1333500"/>
            <wp:effectExtent l="0" t="0" r="0" b="0"/>
            <wp:docPr id="29" name="Picture 29" descr="AIT corporate identity 2014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IT corporate identity 2014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95475" cy="1333500"/>
                    </a:xfrm>
                    <a:prstGeom prst="rect">
                      <a:avLst/>
                    </a:prstGeom>
                    <a:noFill/>
                    <a:ln>
                      <a:noFill/>
                    </a:ln>
                  </pic:spPr>
                </pic:pic>
              </a:graphicData>
            </a:graphic>
          </wp:inline>
        </w:drawing>
      </w:r>
    </w:p>
    <w:p w:rsidR="00A33DB2" w:rsidRDefault="00A33DB2" w:rsidP="001E2DC8">
      <w:pPr>
        <w:pStyle w:val="Title"/>
        <w:jc w:val="left"/>
        <w:rPr>
          <w:sz w:val="24"/>
          <w:lang w:val="en-IE"/>
        </w:rPr>
      </w:pPr>
    </w:p>
    <w:p w:rsidR="0082677C" w:rsidRPr="001E2DC8" w:rsidRDefault="0082677C" w:rsidP="00A33DB2">
      <w:pPr>
        <w:pStyle w:val="Title"/>
        <w:rPr>
          <w:sz w:val="36"/>
          <w:szCs w:val="36"/>
          <w:lang w:val="en-IE"/>
        </w:rPr>
      </w:pPr>
      <w:r w:rsidRPr="001E2DC8">
        <w:rPr>
          <w:sz w:val="36"/>
          <w:szCs w:val="36"/>
          <w:lang w:val="en-IE"/>
        </w:rPr>
        <w:t xml:space="preserve">Professional Development </w:t>
      </w:r>
      <w:r w:rsidR="00531CA4">
        <w:rPr>
          <w:sz w:val="36"/>
          <w:szCs w:val="36"/>
          <w:lang w:val="en-IE"/>
        </w:rPr>
        <w:t>Policy</w:t>
      </w:r>
    </w:p>
    <w:p w:rsidR="0082677C" w:rsidRPr="001E2DC8" w:rsidRDefault="0082677C" w:rsidP="00A33DB2">
      <w:pPr>
        <w:pStyle w:val="Title"/>
        <w:rPr>
          <w:szCs w:val="28"/>
          <w:lang w:val="en-IE"/>
        </w:rPr>
      </w:pPr>
    </w:p>
    <w:p w:rsidR="00AF1D06" w:rsidRDefault="00AF1D06" w:rsidP="00A33DB2">
      <w:pPr>
        <w:jc w:val="both"/>
        <w:rPr>
          <w:lang w:val="en-IE"/>
        </w:rPr>
      </w:pPr>
    </w:p>
    <w:p w:rsidR="00A33DB2" w:rsidRDefault="00A33DB2" w:rsidP="00A33DB2">
      <w:pPr>
        <w:pStyle w:val="BodyTextIndent"/>
        <w:spacing w:after="0"/>
        <w:ind w:left="0"/>
        <w:jc w:val="both"/>
        <w:rPr>
          <w:b/>
          <w:lang w:val="en-IE"/>
        </w:rPr>
      </w:pPr>
      <w:r>
        <w:rPr>
          <w:b/>
          <w:lang w:val="en-IE"/>
        </w:rPr>
        <w:t>1.</w:t>
      </w:r>
      <w:r>
        <w:rPr>
          <w:b/>
          <w:lang w:val="en-IE"/>
        </w:rPr>
        <w:tab/>
        <w:t>INTRODUCTION</w:t>
      </w:r>
    </w:p>
    <w:p w:rsidR="001912F7" w:rsidRDefault="007D2396" w:rsidP="000719A5">
      <w:pPr>
        <w:pStyle w:val="BodyText"/>
        <w:ind w:left="720"/>
      </w:pPr>
      <w:r w:rsidRPr="001912F7">
        <w:t>Athlone Institute of Tech</w:t>
      </w:r>
      <w:r w:rsidR="0082677C">
        <w:t xml:space="preserve">nology recognises that staff are </w:t>
      </w:r>
      <w:r w:rsidRPr="001912F7">
        <w:t xml:space="preserve">a </w:t>
      </w:r>
      <w:r w:rsidR="0082677C">
        <w:t xml:space="preserve">vital and valued asset and </w:t>
      </w:r>
      <w:r w:rsidRPr="001912F7">
        <w:t>encourage</w:t>
      </w:r>
      <w:r w:rsidR="0082677C">
        <w:t>s</w:t>
      </w:r>
      <w:r w:rsidRPr="001912F7">
        <w:t xml:space="preserve"> and enable</w:t>
      </w:r>
      <w:r w:rsidR="0082677C">
        <w:t>s</w:t>
      </w:r>
      <w:r w:rsidRPr="001912F7">
        <w:t xml:space="preserve"> everyone to develop their potential.</w:t>
      </w:r>
      <w:r w:rsidR="0082677C">
        <w:t xml:space="preserve">  </w:t>
      </w:r>
      <w:r w:rsidRPr="001912F7">
        <w:t xml:space="preserve">Support for </w:t>
      </w:r>
      <w:r w:rsidR="00392B5A">
        <w:t>professional</w:t>
      </w:r>
      <w:r>
        <w:t xml:space="preserve"> development will encompass staff at all levels and in all cat</w:t>
      </w:r>
      <w:r w:rsidR="0082677C">
        <w:t xml:space="preserve">egories of the Institute.  </w:t>
      </w:r>
    </w:p>
    <w:p w:rsidR="0082677C" w:rsidRDefault="0082677C" w:rsidP="000719A5">
      <w:pPr>
        <w:pStyle w:val="BodyText"/>
        <w:ind w:left="720"/>
      </w:pPr>
    </w:p>
    <w:p w:rsidR="007D2396" w:rsidRDefault="0082677C" w:rsidP="000719A5">
      <w:pPr>
        <w:pStyle w:val="BodyText"/>
        <w:ind w:left="720"/>
        <w:rPr>
          <w:lang w:val="en-IE"/>
        </w:rPr>
      </w:pPr>
      <w:r>
        <w:t xml:space="preserve">The Professional </w:t>
      </w:r>
      <w:r w:rsidR="007D2396">
        <w:t>Development Committee, a sub-committee of Academic Council, will advise on and h</w:t>
      </w:r>
      <w:r>
        <w:t xml:space="preserve">elp coordinate </w:t>
      </w:r>
      <w:r w:rsidR="00392B5A">
        <w:t>professional</w:t>
      </w:r>
      <w:r>
        <w:t xml:space="preserve"> development.  The Professional </w:t>
      </w:r>
      <w:r w:rsidR="00140C59">
        <w:t>Development C</w:t>
      </w:r>
      <w:r w:rsidR="007D2396">
        <w:t xml:space="preserve">ommittee will prioritise and oversee the allocation of training </w:t>
      </w:r>
      <w:r>
        <w:t xml:space="preserve">resources and ensure that equality and transparency prevail.  </w:t>
      </w:r>
      <w:r w:rsidR="007D2396">
        <w:t xml:space="preserve"> </w:t>
      </w:r>
    </w:p>
    <w:p w:rsidR="007D2396" w:rsidRDefault="007D2396" w:rsidP="000719A5">
      <w:pPr>
        <w:pStyle w:val="BodyTextIndent"/>
        <w:spacing w:after="0"/>
        <w:ind w:left="0"/>
        <w:jc w:val="both"/>
        <w:rPr>
          <w:lang w:val="en-IE"/>
        </w:rPr>
      </w:pPr>
    </w:p>
    <w:p w:rsidR="00A33DB2" w:rsidRDefault="00A33DB2">
      <w:pPr>
        <w:pStyle w:val="BodyTextIndent"/>
        <w:spacing w:after="0"/>
        <w:ind w:left="0"/>
        <w:jc w:val="both"/>
        <w:rPr>
          <w:lang w:val="en-IE"/>
        </w:rPr>
      </w:pPr>
    </w:p>
    <w:p w:rsidR="007D2396" w:rsidRDefault="00A33DB2">
      <w:pPr>
        <w:pStyle w:val="BodyTextIndent"/>
        <w:spacing w:after="0"/>
        <w:ind w:left="0"/>
        <w:jc w:val="both"/>
        <w:rPr>
          <w:b/>
          <w:lang w:val="en-IE"/>
        </w:rPr>
      </w:pPr>
      <w:r>
        <w:rPr>
          <w:b/>
          <w:lang w:val="en-IE"/>
        </w:rPr>
        <w:t>2.</w:t>
      </w:r>
      <w:r>
        <w:rPr>
          <w:b/>
          <w:lang w:val="en-IE"/>
        </w:rPr>
        <w:tab/>
      </w:r>
      <w:r w:rsidR="00E6607E">
        <w:rPr>
          <w:b/>
          <w:lang w:val="en-IE"/>
        </w:rPr>
        <w:t>SCOPE</w:t>
      </w:r>
    </w:p>
    <w:p w:rsidR="00E202BB" w:rsidRPr="00A33DB2" w:rsidRDefault="00C4241D" w:rsidP="000719A5">
      <w:pPr>
        <w:pStyle w:val="BodyTextIndent"/>
        <w:spacing w:after="0"/>
        <w:ind w:left="720"/>
        <w:jc w:val="both"/>
        <w:rPr>
          <w:b/>
          <w:lang w:val="en-IE"/>
        </w:rPr>
      </w:pPr>
      <w:r>
        <w:rPr>
          <w:lang w:val="en-IE"/>
        </w:rPr>
        <w:t>These</w:t>
      </w:r>
      <w:r w:rsidR="00580D08">
        <w:rPr>
          <w:lang w:val="en-IE"/>
        </w:rPr>
        <w:t xml:space="preserve"> guidelines</w:t>
      </w:r>
      <w:r w:rsidR="005A6594">
        <w:rPr>
          <w:lang w:val="en-IE"/>
        </w:rPr>
        <w:t xml:space="preserve"> have</w:t>
      </w:r>
      <w:r w:rsidR="00E202BB" w:rsidRPr="00E202BB">
        <w:rPr>
          <w:lang w:val="en-IE"/>
        </w:rPr>
        <w:t xml:space="preserve"> been developed to ensure that documented, controlled </w:t>
      </w:r>
      <w:r w:rsidR="00E202BB">
        <w:rPr>
          <w:lang w:val="en-IE"/>
        </w:rPr>
        <w:t xml:space="preserve">and </w:t>
      </w:r>
      <w:r w:rsidR="00E202BB" w:rsidRPr="00E202BB">
        <w:rPr>
          <w:lang w:val="en-IE"/>
        </w:rPr>
        <w:t>auditable</w:t>
      </w:r>
      <w:r w:rsidR="00E202BB">
        <w:rPr>
          <w:lang w:val="en-IE"/>
        </w:rPr>
        <w:t xml:space="preserve"> procedures exist within Athlone Institute of Technology to ensure fair and e</w:t>
      </w:r>
      <w:r w:rsidR="005A6594">
        <w:rPr>
          <w:lang w:val="en-IE"/>
        </w:rPr>
        <w:t>quitable implementation of the I</w:t>
      </w:r>
      <w:r w:rsidR="00E202BB">
        <w:rPr>
          <w:lang w:val="en-IE"/>
        </w:rPr>
        <w:t xml:space="preserve">nstitute’s </w:t>
      </w:r>
      <w:r w:rsidR="00392B5A">
        <w:rPr>
          <w:lang w:val="en-IE"/>
        </w:rPr>
        <w:t>professional</w:t>
      </w:r>
      <w:r w:rsidR="00E202BB">
        <w:t xml:space="preserve"> development policy. The following principles underlie this policy:</w:t>
      </w:r>
    </w:p>
    <w:p w:rsidR="007D2396" w:rsidRPr="00A33DB2" w:rsidRDefault="00AF1D06" w:rsidP="000719A5">
      <w:pPr>
        <w:pStyle w:val="BodyText"/>
        <w:numPr>
          <w:ilvl w:val="0"/>
          <w:numId w:val="29"/>
        </w:numPr>
      </w:pPr>
      <w:r w:rsidRPr="00A33DB2">
        <w:t xml:space="preserve">Staff </w:t>
      </w:r>
      <w:r w:rsidR="007D2396" w:rsidRPr="00A33DB2">
        <w:t>members who have one year’s continuous service in AIT are</w:t>
      </w:r>
      <w:r w:rsidR="00A33DB2">
        <w:t xml:space="preserve"> eligible to apply for funding.</w:t>
      </w:r>
    </w:p>
    <w:p w:rsidR="007D2396" w:rsidRPr="00A33DB2" w:rsidRDefault="00AF1D06" w:rsidP="000719A5">
      <w:pPr>
        <w:pStyle w:val="BodyText"/>
        <w:numPr>
          <w:ilvl w:val="0"/>
          <w:numId w:val="29"/>
        </w:numPr>
      </w:pPr>
      <w:r w:rsidRPr="00A33DB2">
        <w:t xml:space="preserve">Staff </w:t>
      </w:r>
      <w:r w:rsidR="007D2396" w:rsidRPr="00A33DB2">
        <w:t xml:space="preserve">members will not receive funding for </w:t>
      </w:r>
      <w:r w:rsidR="005A6594">
        <w:t>more tha</w:t>
      </w:r>
      <w:r w:rsidR="00A33DB2">
        <w:t>n one course at a time.</w:t>
      </w:r>
    </w:p>
    <w:p w:rsidR="007D2396" w:rsidRDefault="00AF1D06" w:rsidP="000719A5">
      <w:pPr>
        <w:pStyle w:val="BodyText"/>
        <w:numPr>
          <w:ilvl w:val="0"/>
          <w:numId w:val="29"/>
        </w:numPr>
      </w:pPr>
      <w:r w:rsidRPr="00A33DB2">
        <w:t xml:space="preserve">Staff </w:t>
      </w:r>
      <w:r w:rsidR="007D2396" w:rsidRPr="00A33DB2">
        <w:t xml:space="preserve">will not normally be eligible for funding if financial assistance has previously been provided by the </w:t>
      </w:r>
      <w:r w:rsidR="00AB3991">
        <w:t>I</w:t>
      </w:r>
      <w:r w:rsidR="00E6607E" w:rsidRPr="00A33DB2">
        <w:t xml:space="preserve">nstitute </w:t>
      </w:r>
      <w:r w:rsidR="007D2396" w:rsidRPr="00A33DB2">
        <w:t>for a qualification at the same level.</w:t>
      </w:r>
    </w:p>
    <w:p w:rsidR="007D2396" w:rsidRPr="00E034C2" w:rsidRDefault="00D0217E" w:rsidP="000719A5">
      <w:pPr>
        <w:pStyle w:val="BodyText"/>
        <w:numPr>
          <w:ilvl w:val="0"/>
          <w:numId w:val="29"/>
        </w:numPr>
        <w:rPr>
          <w:color w:val="000000" w:themeColor="text1"/>
        </w:rPr>
      </w:pPr>
      <w:r w:rsidRPr="00E034C2">
        <w:rPr>
          <w:color w:val="000000" w:themeColor="text1"/>
        </w:rPr>
        <w:t xml:space="preserve">Staff will not be funded for another course within a 5 year period </w:t>
      </w:r>
      <w:r w:rsidR="003D3903" w:rsidRPr="00E034C2">
        <w:rPr>
          <w:color w:val="000000" w:themeColor="text1"/>
        </w:rPr>
        <w:t>of</w:t>
      </w:r>
      <w:r w:rsidRPr="00E034C2">
        <w:rPr>
          <w:color w:val="000000" w:themeColor="text1"/>
        </w:rPr>
        <w:t xml:space="preserve"> com</w:t>
      </w:r>
      <w:r w:rsidR="003D3903" w:rsidRPr="00E034C2">
        <w:rPr>
          <w:color w:val="000000" w:themeColor="text1"/>
        </w:rPr>
        <w:t xml:space="preserve">pletion of the </w:t>
      </w:r>
      <w:r w:rsidR="006E0102" w:rsidRPr="00E034C2">
        <w:rPr>
          <w:color w:val="000000" w:themeColor="text1"/>
        </w:rPr>
        <w:t xml:space="preserve">previous </w:t>
      </w:r>
      <w:r w:rsidR="003D3903" w:rsidRPr="00E034C2">
        <w:rPr>
          <w:color w:val="000000" w:themeColor="text1"/>
        </w:rPr>
        <w:t xml:space="preserve">course unless </w:t>
      </w:r>
      <w:r w:rsidR="006E0102" w:rsidRPr="00E034C2">
        <w:rPr>
          <w:color w:val="000000" w:themeColor="text1"/>
        </w:rPr>
        <w:t>particular</w:t>
      </w:r>
      <w:r w:rsidRPr="00E034C2">
        <w:rPr>
          <w:color w:val="000000" w:themeColor="text1"/>
        </w:rPr>
        <w:t xml:space="preserve"> circumstance</w:t>
      </w:r>
      <w:r w:rsidR="00576A29">
        <w:rPr>
          <w:color w:val="000000" w:themeColor="text1"/>
        </w:rPr>
        <w:t>s</w:t>
      </w:r>
      <w:r w:rsidRPr="00E034C2">
        <w:rPr>
          <w:color w:val="000000" w:themeColor="text1"/>
        </w:rPr>
        <w:t xml:space="preserve"> </w:t>
      </w:r>
      <w:r w:rsidR="006E0102" w:rsidRPr="00E034C2">
        <w:rPr>
          <w:color w:val="000000" w:themeColor="text1"/>
        </w:rPr>
        <w:t>are determi</w:t>
      </w:r>
      <w:r w:rsidR="00C4011F">
        <w:rPr>
          <w:color w:val="000000" w:themeColor="text1"/>
        </w:rPr>
        <w:t>ned which would be of benefit</w:t>
      </w:r>
      <w:r w:rsidR="006E0102" w:rsidRPr="00E034C2">
        <w:rPr>
          <w:color w:val="000000" w:themeColor="text1"/>
        </w:rPr>
        <w:t xml:space="preserve"> to the Institute</w:t>
      </w:r>
      <w:r w:rsidR="003C1AC7" w:rsidRPr="00E034C2">
        <w:rPr>
          <w:color w:val="000000" w:themeColor="text1"/>
        </w:rPr>
        <w:t>.</w:t>
      </w:r>
    </w:p>
    <w:p w:rsidR="00013A0F" w:rsidRDefault="005D594C" w:rsidP="000719A5">
      <w:pPr>
        <w:pStyle w:val="BodyText"/>
        <w:numPr>
          <w:ilvl w:val="0"/>
          <w:numId w:val="29"/>
        </w:numPr>
      </w:pPr>
      <w:r w:rsidRPr="005D594C">
        <w:t>Applicat</w:t>
      </w:r>
      <w:r w:rsidR="005A6594">
        <w:t>ions for group training and/or I</w:t>
      </w:r>
      <w:r w:rsidRPr="005D594C">
        <w:t xml:space="preserve">nstitute </w:t>
      </w:r>
      <w:r w:rsidR="00AF1D06" w:rsidRPr="005D594C">
        <w:t xml:space="preserve">training initiatives are actively encouraged by the committee. These may be presented by the human resources department, </w:t>
      </w:r>
      <w:r w:rsidRPr="005D594C">
        <w:t>a</w:t>
      </w:r>
      <w:r w:rsidR="00AF1D06" w:rsidRPr="005D594C">
        <w:t xml:space="preserve"> department/functional area o</w:t>
      </w:r>
      <w:r w:rsidR="00C4011F">
        <w:t>r any of the sub-committees of Academic C</w:t>
      </w:r>
      <w:r w:rsidR="00AF1D06" w:rsidRPr="005D594C">
        <w:t>ouncil, as appropriate.</w:t>
      </w:r>
    </w:p>
    <w:p w:rsidR="008B3AE6" w:rsidRDefault="008B3AE6" w:rsidP="008B3AE6">
      <w:pPr>
        <w:pStyle w:val="BodyText"/>
      </w:pPr>
    </w:p>
    <w:p w:rsidR="008B3AE6" w:rsidRDefault="008B3AE6" w:rsidP="008B3AE6">
      <w:pPr>
        <w:pStyle w:val="BodyText"/>
      </w:pPr>
    </w:p>
    <w:p w:rsidR="008B3AE6" w:rsidRDefault="008B3AE6" w:rsidP="008B3AE6">
      <w:pPr>
        <w:pStyle w:val="BodyText"/>
      </w:pPr>
    </w:p>
    <w:p w:rsidR="008B3AE6" w:rsidRDefault="008B3AE6" w:rsidP="008B3AE6">
      <w:pPr>
        <w:pStyle w:val="BodyText"/>
      </w:pPr>
    </w:p>
    <w:p w:rsidR="008B3AE6" w:rsidRPr="00AD3C81" w:rsidRDefault="008B3AE6" w:rsidP="008B3AE6">
      <w:pPr>
        <w:pStyle w:val="BodyText"/>
      </w:pPr>
    </w:p>
    <w:p w:rsidR="00A33DB2" w:rsidRDefault="00A33DB2">
      <w:pPr>
        <w:pStyle w:val="BodyText"/>
        <w:rPr>
          <w:lang w:val="en-IE"/>
        </w:rPr>
      </w:pPr>
    </w:p>
    <w:p w:rsidR="00A33DB2" w:rsidRDefault="00A33DB2">
      <w:pPr>
        <w:pStyle w:val="BodyText"/>
        <w:rPr>
          <w:b/>
          <w:bCs/>
          <w:lang w:val="en-IE"/>
        </w:rPr>
      </w:pPr>
      <w:r>
        <w:rPr>
          <w:b/>
          <w:bCs/>
          <w:lang w:val="en-IE"/>
        </w:rPr>
        <w:t>3.</w:t>
      </w:r>
      <w:r>
        <w:rPr>
          <w:b/>
          <w:bCs/>
          <w:lang w:val="en-IE"/>
        </w:rPr>
        <w:tab/>
        <w:t xml:space="preserve">PROGRAMME </w:t>
      </w:r>
      <w:r w:rsidR="00E40179">
        <w:rPr>
          <w:b/>
          <w:bCs/>
          <w:lang w:val="en-IE"/>
        </w:rPr>
        <w:t>SUPPORT</w:t>
      </w:r>
    </w:p>
    <w:p w:rsidR="00E40179" w:rsidRDefault="001912F7" w:rsidP="000719A5">
      <w:pPr>
        <w:pStyle w:val="BodyTextIndent"/>
        <w:spacing w:after="0"/>
        <w:ind w:left="720"/>
        <w:jc w:val="both"/>
        <w:rPr>
          <w:lang w:val="en-IE"/>
        </w:rPr>
      </w:pPr>
      <w:r>
        <w:rPr>
          <w:lang w:val="en-IE"/>
        </w:rPr>
        <w:t xml:space="preserve">Through the </w:t>
      </w:r>
      <w:r w:rsidR="00D33CB3">
        <w:rPr>
          <w:lang w:val="en-IE"/>
        </w:rPr>
        <w:t>Professional Development C</w:t>
      </w:r>
      <w:r w:rsidR="00E40179">
        <w:rPr>
          <w:lang w:val="en-IE"/>
        </w:rPr>
        <w:t>ommittee</w:t>
      </w:r>
      <w:r>
        <w:rPr>
          <w:lang w:val="en-IE"/>
        </w:rPr>
        <w:t>,</w:t>
      </w:r>
      <w:r w:rsidR="001E2DC8">
        <w:rPr>
          <w:lang w:val="en-IE"/>
        </w:rPr>
        <w:t xml:space="preserve"> the I</w:t>
      </w:r>
      <w:r w:rsidR="00E40179">
        <w:rPr>
          <w:lang w:val="en-IE"/>
        </w:rPr>
        <w:t xml:space="preserve">nstitute will give consideration to applications for financial assistance in pursuing </w:t>
      </w:r>
      <w:r w:rsidR="00392B5A">
        <w:rPr>
          <w:lang w:val="en-IE"/>
        </w:rPr>
        <w:t>professional</w:t>
      </w:r>
      <w:r w:rsidR="00E40179">
        <w:rPr>
          <w:lang w:val="en-IE"/>
        </w:rPr>
        <w:t xml:space="preserve"> development activity as follows:</w:t>
      </w:r>
    </w:p>
    <w:p w:rsidR="00A33DB2" w:rsidRDefault="00A33DB2">
      <w:pPr>
        <w:pStyle w:val="BodyText"/>
        <w:rPr>
          <w:b/>
          <w:bCs/>
          <w:lang w:val="en-IE"/>
        </w:rPr>
      </w:pPr>
    </w:p>
    <w:p w:rsidR="007D2396" w:rsidRDefault="00A33DB2">
      <w:pPr>
        <w:pStyle w:val="BodyText"/>
        <w:rPr>
          <w:b/>
          <w:bCs/>
          <w:lang w:val="en-IE"/>
        </w:rPr>
      </w:pPr>
      <w:r>
        <w:rPr>
          <w:b/>
          <w:bCs/>
          <w:lang w:val="en-IE"/>
        </w:rPr>
        <w:t>(a)</w:t>
      </w:r>
      <w:r>
        <w:rPr>
          <w:b/>
          <w:bCs/>
          <w:lang w:val="en-IE"/>
        </w:rPr>
        <w:tab/>
        <w:t>Professional Development Programmes</w:t>
      </w:r>
    </w:p>
    <w:p w:rsidR="007D2396" w:rsidRDefault="007D2396" w:rsidP="000719A5">
      <w:pPr>
        <w:pStyle w:val="BodyText"/>
        <w:ind w:left="720"/>
        <w:rPr>
          <w:lang w:val="en-IE"/>
        </w:rPr>
      </w:pPr>
      <w:r>
        <w:rPr>
          <w:lang w:val="en-IE"/>
        </w:rPr>
        <w:t xml:space="preserve">These are approved </w:t>
      </w:r>
      <w:r w:rsidR="00A33DB2">
        <w:rPr>
          <w:lang w:val="en-IE"/>
        </w:rPr>
        <w:t>programmes</w:t>
      </w:r>
      <w:r>
        <w:rPr>
          <w:lang w:val="en-IE"/>
        </w:rPr>
        <w:t xml:space="preserve"> of study, which relate to the staff member’s current or </w:t>
      </w:r>
      <w:r w:rsidRPr="00FB1007">
        <w:rPr>
          <w:lang w:val="en-IE"/>
        </w:rPr>
        <w:t>planned</w:t>
      </w:r>
      <w:r>
        <w:rPr>
          <w:lang w:val="en-IE"/>
        </w:rPr>
        <w:t xml:space="preserve"> position in AIT or to the strategic mission of the Institute and w</w:t>
      </w:r>
      <w:r w:rsidR="005D594C">
        <w:rPr>
          <w:lang w:val="en-IE"/>
        </w:rPr>
        <w:t>hich are part of her/</w:t>
      </w:r>
      <w:r>
        <w:rPr>
          <w:lang w:val="en-IE"/>
        </w:rPr>
        <w:t xml:space="preserve">his continuing professional development. The following are the guidelines for maximum periods of </w:t>
      </w:r>
      <w:r w:rsidR="001912F7">
        <w:rPr>
          <w:lang w:val="en-IE"/>
        </w:rPr>
        <w:t>study;</w:t>
      </w:r>
      <w:r w:rsidR="00630377">
        <w:rPr>
          <w:lang w:val="en-IE"/>
        </w:rPr>
        <w:t xml:space="preserve"> h</w:t>
      </w:r>
      <w:r>
        <w:rPr>
          <w:lang w:val="en-IE"/>
        </w:rPr>
        <w:t xml:space="preserve">owever, reimbursement may vary particularly if the </w:t>
      </w:r>
      <w:r w:rsidR="00A33DB2">
        <w:rPr>
          <w:lang w:val="en-IE"/>
        </w:rPr>
        <w:t xml:space="preserve">university/college </w:t>
      </w:r>
      <w:r>
        <w:rPr>
          <w:lang w:val="en-IE"/>
        </w:rPr>
        <w:t xml:space="preserve">granting the award normally recognises a </w:t>
      </w:r>
      <w:r w:rsidR="005D594C">
        <w:rPr>
          <w:lang w:val="en-IE"/>
        </w:rPr>
        <w:t xml:space="preserve">shorter or </w:t>
      </w:r>
      <w:r>
        <w:rPr>
          <w:lang w:val="en-IE"/>
        </w:rPr>
        <w:t>longer period of study as being appropriate.</w:t>
      </w:r>
    </w:p>
    <w:p w:rsidR="00D33CB3" w:rsidRDefault="00D33CB3" w:rsidP="000719A5">
      <w:pPr>
        <w:pStyle w:val="BodyText"/>
        <w:ind w:left="720"/>
        <w:rPr>
          <w:lang w:val="en-IE"/>
        </w:rPr>
      </w:pPr>
    </w:p>
    <w:tbl>
      <w:tblPr>
        <w:tblStyle w:val="TableGrid"/>
        <w:tblW w:w="0" w:type="auto"/>
        <w:tblInd w:w="720" w:type="dxa"/>
        <w:tblLook w:val="04A0" w:firstRow="1" w:lastRow="0" w:firstColumn="1" w:lastColumn="0" w:noHBand="0" w:noVBand="1"/>
      </w:tblPr>
      <w:tblGrid>
        <w:gridCol w:w="2670"/>
        <w:gridCol w:w="2623"/>
        <w:gridCol w:w="2623"/>
      </w:tblGrid>
      <w:tr w:rsidR="00D33CB3" w:rsidTr="00D33CB3">
        <w:tc>
          <w:tcPr>
            <w:tcW w:w="2954" w:type="dxa"/>
          </w:tcPr>
          <w:p w:rsidR="00D33CB3" w:rsidRPr="001E2DC8" w:rsidRDefault="00D33CB3" w:rsidP="00A33DB2">
            <w:pPr>
              <w:pStyle w:val="BodyText"/>
              <w:rPr>
                <w:b/>
                <w:lang w:val="en-IE"/>
              </w:rPr>
            </w:pPr>
            <w:r w:rsidRPr="001E2DC8">
              <w:rPr>
                <w:b/>
                <w:lang w:val="en-IE"/>
              </w:rPr>
              <w:t>Primary Degree</w:t>
            </w:r>
          </w:p>
        </w:tc>
        <w:tc>
          <w:tcPr>
            <w:tcW w:w="2954" w:type="dxa"/>
          </w:tcPr>
          <w:p w:rsidR="00D33CB3" w:rsidRDefault="00D33CB3" w:rsidP="00A33DB2">
            <w:pPr>
              <w:pStyle w:val="BodyText"/>
              <w:rPr>
                <w:lang w:val="en-IE"/>
              </w:rPr>
            </w:pPr>
            <w:r>
              <w:rPr>
                <w:lang w:val="en-IE"/>
              </w:rPr>
              <w:t>Level 7/8</w:t>
            </w:r>
          </w:p>
        </w:tc>
        <w:tc>
          <w:tcPr>
            <w:tcW w:w="2954" w:type="dxa"/>
          </w:tcPr>
          <w:p w:rsidR="00D33CB3" w:rsidRDefault="00D33CB3" w:rsidP="00A33DB2">
            <w:pPr>
              <w:pStyle w:val="BodyText"/>
              <w:rPr>
                <w:lang w:val="en-IE"/>
              </w:rPr>
            </w:pPr>
            <w:r>
              <w:rPr>
                <w:lang w:val="en-IE"/>
              </w:rPr>
              <w:t>4 years Full Fees</w:t>
            </w:r>
          </w:p>
        </w:tc>
      </w:tr>
      <w:tr w:rsidR="00D33CB3" w:rsidTr="00D33CB3">
        <w:tc>
          <w:tcPr>
            <w:tcW w:w="2954" w:type="dxa"/>
          </w:tcPr>
          <w:p w:rsidR="00D33CB3" w:rsidRPr="001E2DC8" w:rsidRDefault="00D33CB3" w:rsidP="00A33DB2">
            <w:pPr>
              <w:pStyle w:val="BodyText"/>
              <w:rPr>
                <w:b/>
                <w:lang w:val="en-IE"/>
              </w:rPr>
            </w:pPr>
            <w:r w:rsidRPr="001E2DC8">
              <w:rPr>
                <w:b/>
                <w:lang w:val="en-IE"/>
              </w:rPr>
              <w:t>Masters Degree</w:t>
            </w:r>
          </w:p>
        </w:tc>
        <w:tc>
          <w:tcPr>
            <w:tcW w:w="2954" w:type="dxa"/>
          </w:tcPr>
          <w:p w:rsidR="00D33CB3" w:rsidRDefault="00D33CB3" w:rsidP="00A33DB2">
            <w:pPr>
              <w:pStyle w:val="BodyText"/>
              <w:rPr>
                <w:lang w:val="en-IE"/>
              </w:rPr>
            </w:pPr>
            <w:r>
              <w:rPr>
                <w:lang w:val="en-IE"/>
              </w:rPr>
              <w:t>Level 9</w:t>
            </w:r>
          </w:p>
        </w:tc>
        <w:tc>
          <w:tcPr>
            <w:tcW w:w="2954" w:type="dxa"/>
          </w:tcPr>
          <w:p w:rsidR="00D33CB3" w:rsidRDefault="000C4AB1" w:rsidP="00A33DB2">
            <w:pPr>
              <w:pStyle w:val="BodyText"/>
              <w:rPr>
                <w:lang w:val="en-IE"/>
              </w:rPr>
            </w:pPr>
            <w:r>
              <w:rPr>
                <w:lang w:val="en-IE"/>
              </w:rPr>
              <w:t>2</w:t>
            </w:r>
            <w:r w:rsidR="00D33CB3">
              <w:rPr>
                <w:lang w:val="en-IE"/>
              </w:rPr>
              <w:t xml:space="preserve"> years Full Fees</w:t>
            </w:r>
          </w:p>
          <w:p w:rsidR="00D33CB3" w:rsidRDefault="00D33CB3" w:rsidP="00A33DB2">
            <w:pPr>
              <w:pStyle w:val="BodyText"/>
              <w:rPr>
                <w:lang w:val="en-IE"/>
              </w:rPr>
            </w:pPr>
            <w:r>
              <w:rPr>
                <w:lang w:val="en-IE"/>
              </w:rPr>
              <w:t>1 year Write up Fees</w:t>
            </w:r>
          </w:p>
        </w:tc>
      </w:tr>
      <w:tr w:rsidR="00D33CB3" w:rsidTr="00D33CB3">
        <w:tc>
          <w:tcPr>
            <w:tcW w:w="2954" w:type="dxa"/>
          </w:tcPr>
          <w:p w:rsidR="00D33CB3" w:rsidRPr="001E2DC8" w:rsidRDefault="00D33CB3" w:rsidP="00A33DB2">
            <w:pPr>
              <w:pStyle w:val="BodyText"/>
              <w:rPr>
                <w:b/>
                <w:lang w:val="en-IE"/>
              </w:rPr>
            </w:pPr>
            <w:r w:rsidRPr="001E2DC8">
              <w:rPr>
                <w:b/>
                <w:lang w:val="en-IE"/>
              </w:rPr>
              <w:t>PhD</w:t>
            </w:r>
          </w:p>
        </w:tc>
        <w:tc>
          <w:tcPr>
            <w:tcW w:w="2954" w:type="dxa"/>
          </w:tcPr>
          <w:p w:rsidR="00D33CB3" w:rsidRDefault="00D33CB3" w:rsidP="00A33DB2">
            <w:pPr>
              <w:pStyle w:val="BodyText"/>
              <w:rPr>
                <w:lang w:val="en-IE"/>
              </w:rPr>
            </w:pPr>
            <w:r>
              <w:rPr>
                <w:lang w:val="en-IE"/>
              </w:rPr>
              <w:t>Level 10</w:t>
            </w:r>
          </w:p>
        </w:tc>
        <w:tc>
          <w:tcPr>
            <w:tcW w:w="2954" w:type="dxa"/>
          </w:tcPr>
          <w:p w:rsidR="00D33CB3" w:rsidRDefault="00D33CB3" w:rsidP="00A33DB2">
            <w:pPr>
              <w:pStyle w:val="BodyText"/>
              <w:rPr>
                <w:lang w:val="en-IE"/>
              </w:rPr>
            </w:pPr>
            <w:r>
              <w:rPr>
                <w:lang w:val="en-IE"/>
              </w:rPr>
              <w:t>4 years Full Fees</w:t>
            </w:r>
          </w:p>
          <w:p w:rsidR="00D33CB3" w:rsidRDefault="00D33CB3" w:rsidP="00A33DB2">
            <w:pPr>
              <w:pStyle w:val="BodyText"/>
              <w:rPr>
                <w:lang w:val="en-IE"/>
              </w:rPr>
            </w:pPr>
            <w:r>
              <w:rPr>
                <w:lang w:val="en-IE"/>
              </w:rPr>
              <w:t>1 year Write up Fees</w:t>
            </w:r>
          </w:p>
          <w:p w:rsidR="00D33CB3" w:rsidRDefault="00D33CB3" w:rsidP="00A33DB2">
            <w:pPr>
              <w:pStyle w:val="BodyText"/>
              <w:rPr>
                <w:lang w:val="en-IE"/>
              </w:rPr>
            </w:pPr>
          </w:p>
        </w:tc>
      </w:tr>
    </w:tbl>
    <w:p w:rsidR="00D33CB3" w:rsidRDefault="00D33CB3" w:rsidP="00A33DB2">
      <w:pPr>
        <w:pStyle w:val="BodyText"/>
        <w:ind w:left="720"/>
        <w:rPr>
          <w:lang w:val="en-IE"/>
        </w:rPr>
      </w:pPr>
    </w:p>
    <w:p w:rsidR="007D2396" w:rsidRPr="00E034C2" w:rsidRDefault="009B4A7E" w:rsidP="00B63FF3">
      <w:pPr>
        <w:pStyle w:val="BodyText"/>
        <w:ind w:left="720"/>
        <w:rPr>
          <w:b/>
          <w:color w:val="000000" w:themeColor="text1"/>
          <w:lang w:val="en-IE"/>
        </w:rPr>
      </w:pPr>
      <w:r w:rsidRPr="00E034C2">
        <w:rPr>
          <w:b/>
          <w:color w:val="000000" w:themeColor="text1"/>
          <w:lang w:val="en-IE"/>
        </w:rPr>
        <w:t>*</w:t>
      </w:r>
      <w:r w:rsidR="00D434A9" w:rsidRPr="00E034C2">
        <w:rPr>
          <w:b/>
          <w:color w:val="000000" w:themeColor="text1"/>
          <w:lang w:val="en-IE"/>
        </w:rPr>
        <w:t>In our efforts to receive</w:t>
      </w:r>
      <w:r w:rsidR="00B63FF3" w:rsidRPr="00E034C2">
        <w:rPr>
          <w:b/>
          <w:color w:val="000000" w:themeColor="text1"/>
          <w:lang w:val="en-IE"/>
        </w:rPr>
        <w:t xml:space="preserve"> Technological University </w:t>
      </w:r>
      <w:r w:rsidR="006E0102" w:rsidRPr="00E034C2">
        <w:rPr>
          <w:b/>
          <w:color w:val="000000" w:themeColor="text1"/>
          <w:lang w:val="en-IE"/>
        </w:rPr>
        <w:t>stat</w:t>
      </w:r>
      <w:r w:rsidR="00E034C2">
        <w:rPr>
          <w:b/>
          <w:color w:val="000000" w:themeColor="text1"/>
          <w:lang w:val="en-IE"/>
        </w:rPr>
        <w:t>u</w:t>
      </w:r>
      <w:r w:rsidR="006E0102" w:rsidRPr="00E034C2">
        <w:rPr>
          <w:b/>
          <w:color w:val="000000" w:themeColor="text1"/>
          <w:lang w:val="en-IE"/>
        </w:rPr>
        <w:t>s</w:t>
      </w:r>
      <w:r w:rsidR="00B63FF3" w:rsidRPr="00E034C2">
        <w:rPr>
          <w:b/>
          <w:color w:val="000000" w:themeColor="text1"/>
          <w:lang w:val="en-IE"/>
        </w:rPr>
        <w:t xml:space="preserve"> priority funding will be focused on those taking up PhD.</w:t>
      </w:r>
    </w:p>
    <w:p w:rsidR="00B63FF3" w:rsidRPr="00E034C2" w:rsidRDefault="00B63FF3" w:rsidP="00B63FF3">
      <w:pPr>
        <w:pStyle w:val="BodyText"/>
        <w:ind w:left="720"/>
        <w:rPr>
          <w:color w:val="000000" w:themeColor="text1"/>
          <w:lang w:val="en-IE"/>
        </w:rPr>
      </w:pPr>
    </w:p>
    <w:p w:rsidR="007D2396" w:rsidRDefault="00A33DB2" w:rsidP="00A33DB2">
      <w:pPr>
        <w:pStyle w:val="BodyText"/>
        <w:rPr>
          <w:b/>
          <w:bCs/>
          <w:lang w:val="en-IE"/>
        </w:rPr>
      </w:pPr>
      <w:r>
        <w:rPr>
          <w:b/>
          <w:bCs/>
          <w:lang w:val="en-IE"/>
        </w:rPr>
        <w:t>(b)</w:t>
      </w:r>
      <w:r>
        <w:rPr>
          <w:b/>
          <w:bCs/>
          <w:lang w:val="en-IE"/>
        </w:rPr>
        <w:tab/>
      </w:r>
      <w:r w:rsidR="00526685" w:rsidRPr="00140C59">
        <w:rPr>
          <w:b/>
          <w:bCs/>
          <w:lang w:val="en-IE"/>
        </w:rPr>
        <w:t>Personal Interest Courses</w:t>
      </w:r>
    </w:p>
    <w:p w:rsidR="00D434A9" w:rsidRPr="00E034C2" w:rsidRDefault="00D434A9" w:rsidP="000719A5">
      <w:pPr>
        <w:pStyle w:val="BodyText"/>
        <w:ind w:left="720"/>
        <w:rPr>
          <w:bCs/>
          <w:color w:val="000000" w:themeColor="text1"/>
          <w:lang w:val="en-IE"/>
        </w:rPr>
      </w:pPr>
      <w:r w:rsidRPr="00E034C2">
        <w:rPr>
          <w:bCs/>
          <w:color w:val="000000" w:themeColor="text1"/>
          <w:lang w:val="en-IE"/>
        </w:rPr>
        <w:t xml:space="preserve">Unfortunately due to several years of </w:t>
      </w:r>
      <w:r w:rsidR="00B059E2" w:rsidRPr="00E034C2">
        <w:rPr>
          <w:bCs/>
          <w:color w:val="000000" w:themeColor="text1"/>
          <w:lang w:val="en-IE"/>
        </w:rPr>
        <w:t>seriously reducing grants</w:t>
      </w:r>
      <w:r w:rsidRPr="00E034C2">
        <w:rPr>
          <w:bCs/>
          <w:color w:val="000000" w:themeColor="text1"/>
          <w:lang w:val="en-IE"/>
        </w:rPr>
        <w:t xml:space="preserve"> within the Inst</w:t>
      </w:r>
      <w:r w:rsidR="00B059E2" w:rsidRPr="00E034C2">
        <w:rPr>
          <w:bCs/>
          <w:color w:val="000000" w:themeColor="text1"/>
          <w:lang w:val="en-IE"/>
        </w:rPr>
        <w:t xml:space="preserve">itute we are unable </w:t>
      </w:r>
      <w:r w:rsidRPr="00E034C2">
        <w:rPr>
          <w:bCs/>
          <w:color w:val="000000" w:themeColor="text1"/>
          <w:lang w:val="en-IE"/>
        </w:rPr>
        <w:t>to support Personal Interest Courses.</w:t>
      </w:r>
    </w:p>
    <w:p w:rsidR="00531CA4" w:rsidRDefault="00531CA4" w:rsidP="000719A5">
      <w:pPr>
        <w:pStyle w:val="BodyText"/>
        <w:rPr>
          <w:b/>
          <w:bCs/>
          <w:lang w:val="en-IE"/>
        </w:rPr>
      </w:pPr>
    </w:p>
    <w:p w:rsidR="000C0C7C" w:rsidRPr="000C0C7C" w:rsidRDefault="00D434A9" w:rsidP="000C0C7C">
      <w:pPr>
        <w:pStyle w:val="BodyText"/>
        <w:rPr>
          <w:b/>
        </w:rPr>
      </w:pPr>
      <w:r>
        <w:rPr>
          <w:b/>
          <w:bCs/>
          <w:lang w:val="en-IE"/>
        </w:rPr>
        <w:t xml:space="preserve"> </w:t>
      </w:r>
      <w:r w:rsidR="00A33DB2">
        <w:rPr>
          <w:b/>
          <w:bCs/>
          <w:lang w:val="en-IE"/>
        </w:rPr>
        <w:t>(c)</w:t>
      </w:r>
      <w:r w:rsidR="00A33DB2">
        <w:rPr>
          <w:b/>
          <w:bCs/>
          <w:lang w:val="en-IE"/>
        </w:rPr>
        <w:tab/>
      </w:r>
      <w:r w:rsidR="000C0C7C" w:rsidRPr="000C0C7C">
        <w:rPr>
          <w:b/>
        </w:rPr>
        <w:t>Institute Training Initiatives/Group Training</w:t>
      </w:r>
    </w:p>
    <w:p w:rsidR="000C0C7C" w:rsidRDefault="000C0C7C" w:rsidP="000719A5">
      <w:pPr>
        <w:pStyle w:val="BodyText"/>
        <w:ind w:left="720"/>
      </w:pPr>
      <w:r w:rsidRPr="00C93DF3">
        <w:t>These are generally initiatives relating to</w:t>
      </w:r>
      <w:r>
        <w:t xml:space="preserve"> ongoing organisational requirements (e.g. induction, health and safety training) or to</w:t>
      </w:r>
      <w:r w:rsidR="002515A3">
        <w:t xml:space="preserve"> developments within the I</w:t>
      </w:r>
      <w:r w:rsidRPr="00C93DF3">
        <w:t>nstitute or higher education</w:t>
      </w:r>
      <w:r>
        <w:t>,</w:t>
      </w:r>
      <w:r w:rsidRPr="00C93DF3">
        <w:t xml:space="preserve"> </w:t>
      </w:r>
      <w:r>
        <w:t xml:space="preserve">to </w:t>
      </w:r>
      <w:r w:rsidR="002515A3">
        <w:t>facilitate the I</w:t>
      </w:r>
      <w:r w:rsidRPr="00C93DF3">
        <w:t xml:space="preserve">nstitute meeting </w:t>
      </w:r>
      <w:r>
        <w:t>its</w:t>
      </w:r>
      <w:r w:rsidRPr="00C93DF3">
        <w:t xml:space="preserve"> strategic mission</w:t>
      </w:r>
      <w:r>
        <w:t>. The requirements for this training may als</w:t>
      </w:r>
      <w:r w:rsidR="002515A3">
        <w:t xml:space="preserve">o be identified within individual </w:t>
      </w:r>
      <w:r w:rsidRPr="00FB1007">
        <w:t>departmental/functional area</w:t>
      </w:r>
      <w:r>
        <w:t xml:space="preserve"> developments.</w:t>
      </w:r>
    </w:p>
    <w:p w:rsidR="002515A3" w:rsidRDefault="002515A3" w:rsidP="000719A5">
      <w:pPr>
        <w:pStyle w:val="BodyText"/>
        <w:ind w:left="720"/>
      </w:pPr>
    </w:p>
    <w:p w:rsidR="000C0C7C" w:rsidRDefault="000C0C7C" w:rsidP="000719A5">
      <w:pPr>
        <w:pStyle w:val="BodyTextIndent2"/>
      </w:pPr>
      <w:r>
        <w:rPr>
          <w:lang w:val="en-GB"/>
        </w:rPr>
        <w:t xml:space="preserve">Training requirements provision may be grouped to ensure value-for-money </w:t>
      </w:r>
      <w:r>
        <w:t>within the</w:t>
      </w:r>
      <w:r>
        <w:rPr>
          <w:lang w:val="en-GB"/>
        </w:rPr>
        <w:t xml:space="preserve"> constraints of the staff development budget.</w:t>
      </w:r>
    </w:p>
    <w:p w:rsidR="002515A3" w:rsidRDefault="002515A3" w:rsidP="000719A5">
      <w:pPr>
        <w:pStyle w:val="BodyTextIndent2"/>
      </w:pPr>
    </w:p>
    <w:p w:rsidR="007D2396" w:rsidRPr="000C0C7C" w:rsidRDefault="007D2396">
      <w:pPr>
        <w:jc w:val="both"/>
        <w:rPr>
          <w:lang w:val="en-IE"/>
        </w:rPr>
      </w:pPr>
    </w:p>
    <w:p w:rsidR="000C0C7C" w:rsidRDefault="00C93DF3" w:rsidP="000C0C7C">
      <w:pPr>
        <w:jc w:val="both"/>
        <w:rPr>
          <w:lang w:val="en-IE"/>
        </w:rPr>
      </w:pPr>
      <w:r w:rsidRPr="000C0C7C">
        <w:rPr>
          <w:b/>
          <w:lang w:val="en-IE"/>
        </w:rPr>
        <w:t>(d)</w:t>
      </w:r>
      <w:r w:rsidRPr="000C0C7C">
        <w:rPr>
          <w:b/>
          <w:lang w:val="en-IE"/>
        </w:rPr>
        <w:tab/>
      </w:r>
      <w:r w:rsidR="000C0C7C">
        <w:rPr>
          <w:b/>
          <w:bCs/>
          <w:lang w:val="en-IE"/>
        </w:rPr>
        <w:t>Seminars and Conferences</w:t>
      </w:r>
    </w:p>
    <w:p w:rsidR="009B4A7E" w:rsidRDefault="000C0C7C" w:rsidP="000719A5">
      <w:pPr>
        <w:pStyle w:val="BodyText"/>
        <w:ind w:left="720"/>
      </w:pPr>
      <w:r>
        <w:t xml:space="preserve">Seminars and conferences should be approved and funded by the </w:t>
      </w:r>
      <w:r w:rsidR="004E6B20" w:rsidRPr="00FB1007">
        <w:t>faculty</w:t>
      </w:r>
      <w:r w:rsidRPr="00FB1007">
        <w:t>/functional</w:t>
      </w:r>
      <w:r>
        <w:t xml:space="preserve"> area</w:t>
      </w:r>
      <w:r w:rsidR="00D434A9">
        <w:t>.</w:t>
      </w:r>
      <w:r>
        <w:t xml:space="preserve"> </w:t>
      </w:r>
    </w:p>
    <w:p w:rsidR="0052239F" w:rsidRDefault="0052239F" w:rsidP="00AD3C81">
      <w:pPr>
        <w:pStyle w:val="BodyText"/>
        <w:ind w:left="720"/>
      </w:pPr>
    </w:p>
    <w:p w:rsidR="0052239F" w:rsidRDefault="0052239F" w:rsidP="00AD3C81">
      <w:pPr>
        <w:pStyle w:val="BodyText"/>
        <w:ind w:left="720"/>
      </w:pPr>
    </w:p>
    <w:p w:rsidR="0052239F" w:rsidRDefault="0052239F" w:rsidP="00AD3C81">
      <w:pPr>
        <w:pStyle w:val="BodyText"/>
        <w:ind w:left="720"/>
      </w:pPr>
    </w:p>
    <w:p w:rsidR="00640C1F" w:rsidRPr="00DE6BEE" w:rsidRDefault="00640C1F" w:rsidP="00DE6BEE">
      <w:pPr>
        <w:pStyle w:val="BodyText"/>
        <w:ind w:left="720"/>
      </w:pPr>
    </w:p>
    <w:p w:rsidR="007D2396" w:rsidRDefault="00E40179">
      <w:pPr>
        <w:jc w:val="both"/>
        <w:rPr>
          <w:b/>
          <w:bCs/>
          <w:lang w:val="en-IE"/>
        </w:rPr>
      </w:pPr>
      <w:r>
        <w:rPr>
          <w:b/>
          <w:bCs/>
          <w:lang w:val="en-IE"/>
        </w:rPr>
        <w:lastRenderedPageBreak/>
        <w:t>4.</w:t>
      </w:r>
      <w:r>
        <w:rPr>
          <w:b/>
          <w:bCs/>
          <w:lang w:val="en-IE"/>
        </w:rPr>
        <w:tab/>
        <w:t>APPLICATIONS</w:t>
      </w:r>
    </w:p>
    <w:p w:rsidR="00DE6BEE" w:rsidRDefault="00DE6BEE">
      <w:pPr>
        <w:jc w:val="both"/>
        <w:rPr>
          <w:b/>
          <w:bCs/>
          <w:lang w:val="en-IE"/>
        </w:rPr>
      </w:pPr>
    </w:p>
    <w:p w:rsidR="00DE6BEE" w:rsidRDefault="00DE6BEE" w:rsidP="00E40179">
      <w:pPr>
        <w:numPr>
          <w:ilvl w:val="0"/>
          <w:numId w:val="30"/>
        </w:numPr>
        <w:tabs>
          <w:tab w:val="clear" w:pos="360"/>
        </w:tabs>
        <w:ind w:left="720" w:hanging="720"/>
        <w:jc w:val="both"/>
        <w:rPr>
          <w:u w:val="single"/>
          <w:lang w:val="en-IE"/>
        </w:rPr>
      </w:pPr>
      <w:r w:rsidRPr="003F4204">
        <w:rPr>
          <w:b/>
          <w:u w:val="single"/>
          <w:lang w:val="en-IE"/>
        </w:rPr>
        <w:t>Retrospective applications for funding will not be considered</w:t>
      </w:r>
      <w:r w:rsidRPr="003F4204">
        <w:rPr>
          <w:u w:val="single"/>
          <w:lang w:val="en-IE"/>
        </w:rPr>
        <w:t xml:space="preserve"> </w:t>
      </w:r>
    </w:p>
    <w:p w:rsidR="003F4204" w:rsidRPr="003F4204" w:rsidRDefault="003F4204" w:rsidP="003F4204">
      <w:pPr>
        <w:ind w:left="720"/>
        <w:jc w:val="both"/>
        <w:rPr>
          <w:u w:val="single"/>
          <w:lang w:val="en-IE"/>
        </w:rPr>
      </w:pPr>
    </w:p>
    <w:p w:rsidR="007D2396" w:rsidRDefault="00DE6BEE" w:rsidP="000719A5">
      <w:pPr>
        <w:ind w:left="720"/>
        <w:jc w:val="both"/>
        <w:rPr>
          <w:lang w:val="en-IE"/>
        </w:rPr>
      </w:pPr>
      <w:r>
        <w:rPr>
          <w:lang w:val="en-IE"/>
        </w:rPr>
        <w:t>A</w:t>
      </w:r>
      <w:r w:rsidR="007D2396">
        <w:rPr>
          <w:lang w:val="en-IE"/>
        </w:rPr>
        <w:t xml:space="preserve">pplications for financial assistance should be submitted </w:t>
      </w:r>
      <w:r w:rsidR="007D2396" w:rsidRPr="00DE6BEE">
        <w:rPr>
          <w:u w:val="single"/>
          <w:lang w:val="en-IE"/>
        </w:rPr>
        <w:t>before</w:t>
      </w:r>
      <w:r w:rsidR="007D2396">
        <w:rPr>
          <w:lang w:val="en-IE"/>
        </w:rPr>
        <w:t xml:space="preserve"> a </w:t>
      </w:r>
      <w:r w:rsidR="00E40179">
        <w:rPr>
          <w:lang w:val="en-IE"/>
        </w:rPr>
        <w:t>programm</w:t>
      </w:r>
      <w:r>
        <w:rPr>
          <w:lang w:val="en-IE"/>
        </w:rPr>
        <w:t xml:space="preserve">e of study begins.  </w:t>
      </w:r>
      <w:r w:rsidR="005D3B19" w:rsidRPr="000C0C7C">
        <w:rPr>
          <w:lang w:val="en-IE"/>
        </w:rPr>
        <w:t xml:space="preserve">This includes applications for </w:t>
      </w:r>
      <w:r w:rsidR="00D40818">
        <w:t>I</w:t>
      </w:r>
      <w:r w:rsidR="000C0C7C" w:rsidRPr="000C0C7C">
        <w:t>nstitute training initiatives</w:t>
      </w:r>
      <w:r w:rsidR="000C0C7C" w:rsidRPr="000C0C7C">
        <w:rPr>
          <w:lang w:val="en-IE"/>
        </w:rPr>
        <w:t xml:space="preserve"> </w:t>
      </w:r>
      <w:r w:rsidR="000C0C7C">
        <w:rPr>
          <w:lang w:val="en-IE"/>
        </w:rPr>
        <w:t xml:space="preserve">and </w:t>
      </w:r>
      <w:r w:rsidR="005D3B19" w:rsidRPr="000C0C7C">
        <w:rPr>
          <w:lang w:val="en-IE"/>
        </w:rPr>
        <w:t>group training.</w:t>
      </w:r>
    </w:p>
    <w:p w:rsidR="00DE6BEE" w:rsidRPr="000C0C7C" w:rsidRDefault="00DE6BEE" w:rsidP="000719A5">
      <w:pPr>
        <w:ind w:left="720"/>
        <w:jc w:val="both"/>
        <w:rPr>
          <w:lang w:val="en-IE"/>
        </w:rPr>
      </w:pPr>
    </w:p>
    <w:p w:rsidR="009F414F" w:rsidRDefault="009A30BF" w:rsidP="009F414F">
      <w:pPr>
        <w:numPr>
          <w:ilvl w:val="0"/>
          <w:numId w:val="30"/>
        </w:numPr>
        <w:tabs>
          <w:tab w:val="clear" w:pos="360"/>
        </w:tabs>
        <w:ind w:left="720" w:hanging="720"/>
        <w:jc w:val="both"/>
        <w:rPr>
          <w:lang w:val="en-IE"/>
        </w:rPr>
      </w:pPr>
      <w:r>
        <w:rPr>
          <w:lang w:val="en-IE"/>
        </w:rPr>
        <w:t>Applicants must</w:t>
      </w:r>
      <w:r w:rsidR="007D2396">
        <w:rPr>
          <w:lang w:val="en-IE"/>
        </w:rPr>
        <w:t xml:space="preserve"> use the app</w:t>
      </w:r>
      <w:r w:rsidR="00DE6BEE">
        <w:rPr>
          <w:lang w:val="en-IE"/>
        </w:rPr>
        <w:t>ropriate form availa</w:t>
      </w:r>
      <w:r w:rsidR="00D40818">
        <w:rPr>
          <w:lang w:val="en-IE"/>
        </w:rPr>
        <w:t>ble from the HR section on the I</w:t>
      </w:r>
      <w:r w:rsidR="00E40179">
        <w:rPr>
          <w:lang w:val="en-IE"/>
        </w:rPr>
        <w:t>nstitute intranet</w:t>
      </w:r>
      <w:r w:rsidR="007D2396">
        <w:rPr>
          <w:lang w:val="en-IE"/>
        </w:rPr>
        <w:t>.</w:t>
      </w:r>
    </w:p>
    <w:p w:rsidR="00DE6BEE" w:rsidRDefault="009F414F" w:rsidP="009F414F">
      <w:pPr>
        <w:ind w:left="720"/>
        <w:jc w:val="both"/>
        <w:rPr>
          <w:lang w:val="en-IE"/>
        </w:rPr>
      </w:pPr>
      <w:r>
        <w:rPr>
          <w:lang w:val="en-IE"/>
        </w:rPr>
        <w:t xml:space="preserve"> </w:t>
      </w:r>
    </w:p>
    <w:p w:rsidR="00DE6BEE" w:rsidRPr="00DE6BEE" w:rsidRDefault="007D2396" w:rsidP="000719A5">
      <w:pPr>
        <w:numPr>
          <w:ilvl w:val="0"/>
          <w:numId w:val="30"/>
        </w:numPr>
        <w:tabs>
          <w:tab w:val="clear" w:pos="360"/>
        </w:tabs>
        <w:ind w:left="720" w:hanging="720"/>
        <w:jc w:val="both"/>
      </w:pPr>
      <w:r w:rsidRPr="00DE6BEE">
        <w:rPr>
          <w:lang w:val="en-IE"/>
        </w:rPr>
        <w:t>Applications should be submitted to the HR Department</w:t>
      </w:r>
      <w:r w:rsidR="00D4591E">
        <w:rPr>
          <w:lang w:val="en-IE"/>
        </w:rPr>
        <w:t xml:space="preserve"> </w:t>
      </w:r>
      <w:r w:rsidR="004E6B20">
        <w:rPr>
          <w:color w:val="000000" w:themeColor="text1"/>
          <w:lang w:val="en-IE"/>
        </w:rPr>
        <w:t>two</w:t>
      </w:r>
      <w:r w:rsidR="00D4591E" w:rsidRPr="00E034C2">
        <w:rPr>
          <w:color w:val="000000" w:themeColor="text1"/>
          <w:lang w:val="en-IE"/>
        </w:rPr>
        <w:t xml:space="preserve"> weeks prior to</w:t>
      </w:r>
      <w:r w:rsidR="00FB1007">
        <w:rPr>
          <w:color w:val="000000" w:themeColor="text1"/>
          <w:lang w:val="en-IE"/>
        </w:rPr>
        <w:t xml:space="preserve"> the</w:t>
      </w:r>
      <w:r w:rsidR="00D4591E" w:rsidRPr="00E034C2">
        <w:rPr>
          <w:color w:val="000000" w:themeColor="text1"/>
          <w:lang w:val="en-IE"/>
        </w:rPr>
        <w:t xml:space="preserve"> </w:t>
      </w:r>
      <w:r w:rsidR="00BA77D7" w:rsidRPr="00E034C2">
        <w:rPr>
          <w:color w:val="000000" w:themeColor="text1"/>
          <w:lang w:val="en-IE"/>
        </w:rPr>
        <w:t>schedule</w:t>
      </w:r>
      <w:r w:rsidR="00BA77D7">
        <w:rPr>
          <w:color w:val="000000" w:themeColor="text1"/>
          <w:lang w:val="en-IE"/>
        </w:rPr>
        <w:t xml:space="preserve">d </w:t>
      </w:r>
      <w:r w:rsidR="00D4591E" w:rsidRPr="00E034C2">
        <w:rPr>
          <w:color w:val="000000" w:themeColor="text1"/>
          <w:lang w:val="en-IE"/>
        </w:rPr>
        <w:t>meetings to facilitate</w:t>
      </w:r>
      <w:r w:rsidR="00E40179" w:rsidRPr="00E034C2">
        <w:rPr>
          <w:color w:val="000000" w:themeColor="text1"/>
          <w:lang w:val="en-IE"/>
        </w:rPr>
        <w:t xml:space="preserve"> inclusion at the next available </w:t>
      </w:r>
      <w:r w:rsidR="00DE6BEE" w:rsidRPr="00E034C2">
        <w:rPr>
          <w:color w:val="000000" w:themeColor="text1"/>
          <w:lang w:val="en-IE"/>
        </w:rPr>
        <w:t xml:space="preserve">Professional </w:t>
      </w:r>
      <w:r w:rsidR="003F4204">
        <w:rPr>
          <w:lang w:val="en-IE"/>
        </w:rPr>
        <w:t>Development C</w:t>
      </w:r>
      <w:r w:rsidR="00E40179" w:rsidRPr="00DE6BEE">
        <w:rPr>
          <w:lang w:val="en-IE"/>
        </w:rPr>
        <w:t>ommittee meeting</w:t>
      </w:r>
      <w:r w:rsidRPr="00DE6BEE">
        <w:rPr>
          <w:lang w:val="en-IE"/>
        </w:rPr>
        <w:t xml:space="preserve">. </w:t>
      </w:r>
    </w:p>
    <w:p w:rsidR="00DE6BEE" w:rsidRDefault="00DE6BEE" w:rsidP="000719A5">
      <w:pPr>
        <w:pStyle w:val="ListParagraph"/>
        <w:jc w:val="both"/>
        <w:rPr>
          <w:lang w:val="en-IE"/>
        </w:rPr>
      </w:pPr>
    </w:p>
    <w:p w:rsidR="007D2396" w:rsidRPr="00E034C2" w:rsidRDefault="007D2396" w:rsidP="000719A5">
      <w:pPr>
        <w:numPr>
          <w:ilvl w:val="0"/>
          <w:numId w:val="30"/>
        </w:numPr>
        <w:tabs>
          <w:tab w:val="clear" w:pos="360"/>
        </w:tabs>
        <w:ind w:left="720" w:hanging="720"/>
        <w:jc w:val="both"/>
        <w:rPr>
          <w:color w:val="000000" w:themeColor="text1"/>
        </w:rPr>
      </w:pPr>
      <w:r w:rsidRPr="00DE6BEE">
        <w:rPr>
          <w:lang w:val="en-IE"/>
        </w:rPr>
        <w:t xml:space="preserve">Applicants will be advised of the </w:t>
      </w:r>
      <w:r w:rsidR="00D4591E" w:rsidRPr="00E034C2">
        <w:rPr>
          <w:color w:val="000000" w:themeColor="text1"/>
          <w:lang w:val="en-IE"/>
        </w:rPr>
        <w:t>outcome</w:t>
      </w:r>
      <w:r w:rsidRPr="00E034C2">
        <w:rPr>
          <w:color w:val="000000" w:themeColor="text1"/>
          <w:lang w:val="en-IE"/>
        </w:rPr>
        <w:t xml:space="preserve"> of their application by the HR Department </w:t>
      </w:r>
      <w:r w:rsidR="00210468" w:rsidRPr="00E034C2">
        <w:rPr>
          <w:color w:val="000000" w:themeColor="text1"/>
          <w:lang w:val="en-IE"/>
        </w:rPr>
        <w:t>within 3 working days</w:t>
      </w:r>
      <w:r w:rsidRPr="00E034C2">
        <w:rPr>
          <w:color w:val="000000" w:themeColor="text1"/>
          <w:lang w:val="en-IE"/>
        </w:rPr>
        <w:t xml:space="preserve"> </w:t>
      </w:r>
      <w:r w:rsidR="00B059E2" w:rsidRPr="00E034C2">
        <w:rPr>
          <w:color w:val="000000" w:themeColor="text1"/>
          <w:lang w:val="en-IE"/>
        </w:rPr>
        <w:t>following the Professional Development Committee</w:t>
      </w:r>
      <w:r w:rsidR="003F4204" w:rsidRPr="00E034C2">
        <w:rPr>
          <w:color w:val="000000" w:themeColor="text1"/>
          <w:lang w:val="en-IE"/>
        </w:rPr>
        <w:t xml:space="preserve"> meeting</w:t>
      </w:r>
      <w:r w:rsidR="00210468" w:rsidRPr="00E034C2">
        <w:rPr>
          <w:color w:val="000000" w:themeColor="text1"/>
          <w:lang w:val="en-IE"/>
        </w:rPr>
        <w:t>.</w:t>
      </w:r>
    </w:p>
    <w:p w:rsidR="00DE6BEE" w:rsidRDefault="00DE6BEE" w:rsidP="000719A5">
      <w:pPr>
        <w:jc w:val="both"/>
      </w:pPr>
    </w:p>
    <w:p w:rsidR="007D2396" w:rsidRDefault="007D2396" w:rsidP="000719A5">
      <w:pPr>
        <w:numPr>
          <w:ilvl w:val="0"/>
          <w:numId w:val="30"/>
        </w:numPr>
        <w:tabs>
          <w:tab w:val="clear" w:pos="360"/>
        </w:tabs>
        <w:ind w:left="720" w:hanging="720"/>
        <w:jc w:val="both"/>
      </w:pPr>
      <w:r>
        <w:rPr>
          <w:lang w:val="en-IE"/>
        </w:rPr>
        <w:t>The</w:t>
      </w:r>
      <w:r w:rsidR="003F4204">
        <w:t xml:space="preserve"> Professional</w:t>
      </w:r>
      <w:r>
        <w:t xml:space="preserve"> Development Committee will apply the following criteria as appropriate:</w:t>
      </w:r>
    </w:p>
    <w:p w:rsidR="007D2396" w:rsidRDefault="007D2396" w:rsidP="000719A5">
      <w:pPr>
        <w:ind w:left="1080" w:hanging="360"/>
        <w:jc w:val="both"/>
      </w:pPr>
      <w:r>
        <w:t>a)</w:t>
      </w:r>
      <w:r>
        <w:tab/>
      </w:r>
      <w:r w:rsidR="00AB3991">
        <w:t>the value of the course to the In</w:t>
      </w:r>
      <w:r>
        <w:t>stitut</w:t>
      </w:r>
      <w:r w:rsidR="00E40179">
        <w:t>e</w:t>
      </w:r>
    </w:p>
    <w:p w:rsidR="007D2396" w:rsidRDefault="007D2396" w:rsidP="000719A5">
      <w:pPr>
        <w:ind w:left="1080" w:hanging="360"/>
        <w:jc w:val="both"/>
      </w:pPr>
      <w:r>
        <w:t>b)</w:t>
      </w:r>
      <w:r>
        <w:tab/>
        <w:t>the value of the course to the career development of the individual</w:t>
      </w:r>
    </w:p>
    <w:p w:rsidR="007D2396" w:rsidRDefault="007D2396" w:rsidP="000719A5">
      <w:pPr>
        <w:ind w:left="1080" w:hanging="360"/>
        <w:jc w:val="both"/>
      </w:pPr>
      <w:r>
        <w:t>c)</w:t>
      </w:r>
      <w:r>
        <w:tab/>
        <w:t>the potential of the person to benefit from the course</w:t>
      </w:r>
    </w:p>
    <w:p w:rsidR="007D2396" w:rsidRDefault="007D2396" w:rsidP="000719A5">
      <w:pPr>
        <w:ind w:left="1080" w:hanging="360"/>
        <w:jc w:val="both"/>
      </w:pPr>
      <w:r>
        <w:t>d)</w:t>
      </w:r>
      <w:r>
        <w:tab/>
        <w:t>the appropriateness</w:t>
      </w:r>
      <w:r w:rsidR="00D52A69">
        <w:t>/relevance</w:t>
      </w:r>
      <w:r>
        <w:t xml:space="preserve"> of the course</w:t>
      </w:r>
    </w:p>
    <w:p w:rsidR="007D2396" w:rsidRDefault="007D2396" w:rsidP="000719A5">
      <w:pPr>
        <w:ind w:left="1080" w:hanging="360"/>
        <w:jc w:val="both"/>
      </w:pPr>
      <w:r>
        <w:t>e)</w:t>
      </w:r>
      <w:r>
        <w:tab/>
        <w:t>the cost effectiveness of the proposal</w:t>
      </w:r>
    </w:p>
    <w:p w:rsidR="007D2396" w:rsidRDefault="007D2396" w:rsidP="000719A5">
      <w:pPr>
        <w:ind w:left="1080" w:hanging="360"/>
        <w:jc w:val="both"/>
      </w:pPr>
      <w:r>
        <w:t>f)</w:t>
      </w:r>
      <w:r>
        <w:tab/>
        <w:t>the availability of funds</w:t>
      </w:r>
    </w:p>
    <w:p w:rsidR="007D2396" w:rsidRDefault="007D2396" w:rsidP="000719A5">
      <w:pPr>
        <w:ind w:left="1080" w:hanging="360"/>
        <w:jc w:val="both"/>
      </w:pPr>
      <w:r>
        <w:t>g)</w:t>
      </w:r>
      <w:r>
        <w:tab/>
        <w:t>the competing claims on funds</w:t>
      </w:r>
    </w:p>
    <w:p w:rsidR="00EF5CAD" w:rsidRPr="00E034C2" w:rsidRDefault="00EF5CAD" w:rsidP="000719A5">
      <w:pPr>
        <w:ind w:left="1080" w:hanging="360"/>
        <w:jc w:val="both"/>
        <w:rPr>
          <w:color w:val="000000" w:themeColor="text1"/>
        </w:rPr>
      </w:pPr>
      <w:r w:rsidRPr="00E034C2">
        <w:rPr>
          <w:color w:val="000000" w:themeColor="text1"/>
        </w:rPr>
        <w:t>h)</w:t>
      </w:r>
      <w:r w:rsidRPr="00E034C2">
        <w:rPr>
          <w:color w:val="000000" w:themeColor="text1"/>
        </w:rPr>
        <w:tab/>
        <w:t>previous support and funding</w:t>
      </w:r>
    </w:p>
    <w:p w:rsidR="00EF5CAD" w:rsidRPr="00E034C2" w:rsidRDefault="00AB3991" w:rsidP="000719A5">
      <w:pPr>
        <w:ind w:left="1080" w:hanging="360"/>
        <w:jc w:val="both"/>
        <w:rPr>
          <w:color w:val="000000" w:themeColor="text1"/>
        </w:rPr>
      </w:pPr>
      <w:r>
        <w:rPr>
          <w:color w:val="000000" w:themeColor="text1"/>
        </w:rPr>
        <w:t>i)</w:t>
      </w:r>
      <w:r>
        <w:rPr>
          <w:color w:val="000000" w:themeColor="text1"/>
        </w:rPr>
        <w:tab/>
        <w:t>length of services with the I</w:t>
      </w:r>
      <w:r w:rsidR="00EF5CAD" w:rsidRPr="00E034C2">
        <w:rPr>
          <w:color w:val="000000" w:themeColor="text1"/>
        </w:rPr>
        <w:t>nstitute</w:t>
      </w:r>
    </w:p>
    <w:p w:rsidR="007D2396" w:rsidRPr="00E034C2" w:rsidRDefault="00EF5CAD" w:rsidP="000719A5">
      <w:pPr>
        <w:ind w:left="1080" w:hanging="360"/>
        <w:jc w:val="both"/>
        <w:rPr>
          <w:color w:val="000000" w:themeColor="text1"/>
        </w:rPr>
      </w:pPr>
      <w:r w:rsidRPr="00E034C2">
        <w:rPr>
          <w:color w:val="000000" w:themeColor="text1"/>
        </w:rPr>
        <w:t>j)</w:t>
      </w:r>
      <w:r w:rsidRPr="00E034C2">
        <w:rPr>
          <w:color w:val="000000" w:themeColor="text1"/>
        </w:rPr>
        <w:tab/>
        <w:t xml:space="preserve">having the necessary competencies/skills to achieve </w:t>
      </w:r>
      <w:r w:rsidR="0063571D">
        <w:rPr>
          <w:color w:val="000000" w:themeColor="text1"/>
        </w:rPr>
        <w:t>desirable</w:t>
      </w:r>
      <w:r w:rsidRPr="00E034C2">
        <w:rPr>
          <w:color w:val="000000" w:themeColor="text1"/>
        </w:rPr>
        <w:t xml:space="preserve"> outcome level of award</w:t>
      </w:r>
    </w:p>
    <w:p w:rsidR="0052239F" w:rsidRDefault="0052239F" w:rsidP="000719A5">
      <w:pPr>
        <w:jc w:val="both"/>
        <w:rPr>
          <w:color w:val="000000" w:themeColor="text1"/>
          <w:lang w:val="en-IE"/>
        </w:rPr>
      </w:pPr>
    </w:p>
    <w:p w:rsidR="00CE2C7D" w:rsidRPr="00E034C2" w:rsidRDefault="00CE2C7D">
      <w:pPr>
        <w:jc w:val="both"/>
        <w:rPr>
          <w:color w:val="000000" w:themeColor="text1"/>
          <w:lang w:val="en-IE"/>
        </w:rPr>
      </w:pPr>
    </w:p>
    <w:p w:rsidR="007D2396" w:rsidRDefault="00E40179">
      <w:pPr>
        <w:jc w:val="both"/>
        <w:rPr>
          <w:b/>
          <w:bCs/>
          <w:lang w:val="en-IE"/>
        </w:rPr>
      </w:pPr>
      <w:r>
        <w:rPr>
          <w:b/>
          <w:bCs/>
          <w:lang w:val="en-IE"/>
        </w:rPr>
        <w:t>5.</w:t>
      </w:r>
      <w:r>
        <w:rPr>
          <w:b/>
          <w:bCs/>
          <w:lang w:val="en-IE"/>
        </w:rPr>
        <w:tab/>
        <w:t>FINANCIAL ASSISTANCE</w:t>
      </w:r>
    </w:p>
    <w:p w:rsidR="00E40179" w:rsidRDefault="00E40179" w:rsidP="00E40179">
      <w:pPr>
        <w:ind w:left="720"/>
        <w:jc w:val="both"/>
      </w:pPr>
    </w:p>
    <w:p w:rsidR="00E40179" w:rsidRPr="00E40179" w:rsidRDefault="00E40179" w:rsidP="000719A5">
      <w:pPr>
        <w:jc w:val="both"/>
        <w:rPr>
          <w:b/>
        </w:rPr>
      </w:pPr>
      <w:r w:rsidRPr="00E40179">
        <w:rPr>
          <w:b/>
        </w:rPr>
        <w:t>5.1</w:t>
      </w:r>
      <w:r w:rsidRPr="00E40179">
        <w:rPr>
          <w:b/>
        </w:rPr>
        <w:tab/>
        <w:t>Fees in Respect of Registration, Tuition and Examination Fees</w:t>
      </w:r>
    </w:p>
    <w:p w:rsidR="00630377" w:rsidRDefault="00DE6BEE" w:rsidP="000719A5">
      <w:pPr>
        <w:ind w:left="720"/>
        <w:jc w:val="both"/>
      </w:pPr>
      <w:r>
        <w:t xml:space="preserve">AIT Professional </w:t>
      </w:r>
      <w:r w:rsidR="007D2396">
        <w:t>Development Committee will grant financial assistance to cover the cost of approved fees in respect of registration, tuition and examination fees. Assistance will be limited to the normal registration period and any other associated fees will not be reimbursed by AIT.</w:t>
      </w:r>
    </w:p>
    <w:p w:rsidR="00DE6BEE" w:rsidRDefault="00DE6BEE" w:rsidP="000719A5">
      <w:pPr>
        <w:ind w:left="720"/>
        <w:jc w:val="both"/>
      </w:pPr>
    </w:p>
    <w:p w:rsidR="00922163" w:rsidRPr="00E034C2" w:rsidRDefault="00922163" w:rsidP="000719A5">
      <w:pPr>
        <w:ind w:left="720"/>
        <w:jc w:val="both"/>
        <w:rPr>
          <w:color w:val="000000" w:themeColor="text1"/>
        </w:rPr>
      </w:pPr>
      <w:r w:rsidRPr="00E034C2">
        <w:rPr>
          <w:color w:val="000000" w:themeColor="text1"/>
        </w:rPr>
        <w:t>In</w:t>
      </w:r>
      <w:r w:rsidR="00A35601">
        <w:rPr>
          <w:color w:val="000000" w:themeColor="text1"/>
        </w:rPr>
        <w:t xml:space="preserve"> order to eliminate financial hard</w:t>
      </w:r>
      <w:r w:rsidRPr="00E034C2">
        <w:rPr>
          <w:color w:val="000000" w:themeColor="text1"/>
        </w:rPr>
        <w:t xml:space="preserve">ship </w:t>
      </w:r>
      <w:r w:rsidR="002501F8" w:rsidRPr="00E034C2">
        <w:rPr>
          <w:color w:val="000000" w:themeColor="text1"/>
        </w:rPr>
        <w:t xml:space="preserve">and if requested </w:t>
      </w:r>
      <w:r w:rsidR="00EE17C8">
        <w:rPr>
          <w:color w:val="000000" w:themeColor="text1"/>
        </w:rPr>
        <w:t xml:space="preserve">by the individual the Institute </w:t>
      </w:r>
      <w:r w:rsidRPr="00E034C2">
        <w:rPr>
          <w:color w:val="000000" w:themeColor="text1"/>
        </w:rPr>
        <w:t xml:space="preserve">agrees to pay </w:t>
      </w:r>
      <w:r w:rsidR="002501F8" w:rsidRPr="00E034C2">
        <w:rPr>
          <w:color w:val="000000" w:themeColor="text1"/>
        </w:rPr>
        <w:t xml:space="preserve">fees </w:t>
      </w:r>
      <w:r w:rsidRPr="00E034C2">
        <w:rPr>
          <w:color w:val="000000" w:themeColor="text1"/>
        </w:rPr>
        <w:t xml:space="preserve">approved </w:t>
      </w:r>
      <w:r w:rsidR="002501F8" w:rsidRPr="00E034C2">
        <w:rPr>
          <w:color w:val="000000" w:themeColor="text1"/>
        </w:rPr>
        <w:t>b</w:t>
      </w:r>
      <w:r w:rsidRPr="00E034C2">
        <w:rPr>
          <w:color w:val="000000" w:themeColor="text1"/>
        </w:rPr>
        <w:t>y the Professional Development Committee in advance of commencing th</w:t>
      </w:r>
      <w:r w:rsidR="002501F8" w:rsidRPr="00E034C2">
        <w:rPr>
          <w:color w:val="000000" w:themeColor="text1"/>
        </w:rPr>
        <w:t>e course</w:t>
      </w:r>
      <w:r w:rsidRPr="00E034C2">
        <w:rPr>
          <w:color w:val="000000" w:themeColor="text1"/>
        </w:rPr>
        <w:t>.</w:t>
      </w:r>
    </w:p>
    <w:p w:rsidR="00922163" w:rsidRPr="00E034C2" w:rsidRDefault="00922163" w:rsidP="000719A5">
      <w:pPr>
        <w:ind w:left="720"/>
        <w:jc w:val="both"/>
        <w:rPr>
          <w:color w:val="000000" w:themeColor="text1"/>
        </w:rPr>
      </w:pPr>
    </w:p>
    <w:p w:rsidR="00922163" w:rsidRPr="00E034C2" w:rsidRDefault="00922163" w:rsidP="000719A5">
      <w:pPr>
        <w:ind w:left="720"/>
        <w:jc w:val="both"/>
        <w:rPr>
          <w:color w:val="000000" w:themeColor="text1"/>
        </w:rPr>
      </w:pPr>
      <w:r w:rsidRPr="00E034C2">
        <w:rPr>
          <w:color w:val="000000" w:themeColor="text1"/>
        </w:rPr>
        <w:lastRenderedPageBreak/>
        <w:t>In the event the individual does not complete or pass the approved course the employee will be r</w:t>
      </w:r>
      <w:r w:rsidR="00AB3991">
        <w:rPr>
          <w:color w:val="000000" w:themeColor="text1"/>
        </w:rPr>
        <w:t>equired to fully reimburse the I</w:t>
      </w:r>
      <w:r w:rsidRPr="00E034C2">
        <w:rPr>
          <w:color w:val="000000" w:themeColor="text1"/>
        </w:rPr>
        <w:t>nstitute wi</w:t>
      </w:r>
      <w:r w:rsidR="00B1660B">
        <w:rPr>
          <w:color w:val="000000" w:themeColor="text1"/>
        </w:rPr>
        <w:t>th</w:t>
      </w:r>
      <w:r w:rsidRPr="00E034C2">
        <w:rPr>
          <w:color w:val="000000" w:themeColor="text1"/>
        </w:rPr>
        <w:t xml:space="preserve"> all fees’ paid. </w:t>
      </w:r>
    </w:p>
    <w:p w:rsidR="007D2396" w:rsidRDefault="007D2396" w:rsidP="000719A5">
      <w:pPr>
        <w:ind w:firstLine="720"/>
        <w:jc w:val="both"/>
        <w:rPr>
          <w:b/>
          <w:lang w:val="en-IE"/>
        </w:rPr>
      </w:pPr>
      <w:r w:rsidRPr="00DE6BEE">
        <w:rPr>
          <w:b/>
          <w:lang w:val="en-IE"/>
        </w:rPr>
        <w:t>Reimbursement of late fees or re</w:t>
      </w:r>
      <w:r w:rsidR="00DE6BEE">
        <w:rPr>
          <w:b/>
          <w:lang w:val="en-IE"/>
        </w:rPr>
        <w:t>peat fees will not be given.</w:t>
      </w:r>
    </w:p>
    <w:p w:rsidR="003F4204" w:rsidRPr="003F4204" w:rsidRDefault="003F4204" w:rsidP="000719A5">
      <w:pPr>
        <w:ind w:left="720"/>
        <w:jc w:val="both"/>
      </w:pPr>
    </w:p>
    <w:p w:rsidR="00DE6BEE" w:rsidRDefault="00FB5A87" w:rsidP="000719A5">
      <w:pPr>
        <w:pStyle w:val="Header"/>
        <w:ind w:left="720"/>
        <w:jc w:val="both"/>
      </w:pPr>
      <w:r w:rsidRPr="001539F1">
        <w:t>A staff member, who ha</w:t>
      </w:r>
      <w:r w:rsidR="001539F1" w:rsidRPr="001539F1">
        <w:t>s</w:t>
      </w:r>
      <w:r w:rsidRPr="001539F1">
        <w:t xml:space="preserve"> previously received funding approval for a course which the</w:t>
      </w:r>
      <w:r w:rsidR="001539F1" w:rsidRPr="001539F1">
        <w:t>y</w:t>
      </w:r>
      <w:r w:rsidRPr="001539F1">
        <w:t xml:space="preserve"> subsequently defer commencing, is required to resubmit their application </w:t>
      </w:r>
      <w:r w:rsidR="001539F1" w:rsidRPr="001539F1">
        <w:t xml:space="preserve">if they decide </w:t>
      </w:r>
      <w:r w:rsidRPr="001539F1">
        <w:t>to undertake the course on an alternative start date</w:t>
      </w:r>
      <w:r w:rsidR="00DE6BEE">
        <w:t>.</w:t>
      </w:r>
    </w:p>
    <w:p w:rsidR="00DE6BEE" w:rsidRDefault="00DE6BEE" w:rsidP="000719A5">
      <w:pPr>
        <w:pStyle w:val="Header"/>
        <w:ind w:left="720"/>
        <w:jc w:val="both"/>
      </w:pPr>
    </w:p>
    <w:p w:rsidR="007D2396" w:rsidRDefault="0065531A" w:rsidP="000719A5">
      <w:pPr>
        <w:jc w:val="both"/>
        <w:rPr>
          <w:b/>
          <w:bCs/>
        </w:rPr>
      </w:pPr>
      <w:r>
        <w:rPr>
          <w:b/>
          <w:bCs/>
        </w:rPr>
        <w:t xml:space="preserve">5.2      </w:t>
      </w:r>
      <w:r w:rsidR="007D2396">
        <w:rPr>
          <w:b/>
          <w:bCs/>
        </w:rPr>
        <w:t>Tra</w:t>
      </w:r>
      <w:r w:rsidR="00E40179">
        <w:rPr>
          <w:b/>
          <w:bCs/>
        </w:rPr>
        <w:t>veling and Subsistence Expenses</w:t>
      </w:r>
    </w:p>
    <w:p w:rsidR="0065531A" w:rsidRPr="0065531A" w:rsidRDefault="0065531A" w:rsidP="000719A5">
      <w:pPr>
        <w:jc w:val="both"/>
        <w:rPr>
          <w:bCs/>
        </w:rPr>
      </w:pPr>
      <w:r>
        <w:rPr>
          <w:b/>
          <w:bCs/>
        </w:rPr>
        <w:tab/>
      </w:r>
      <w:r w:rsidR="00611815">
        <w:rPr>
          <w:bCs/>
        </w:rPr>
        <w:t>Travel and s</w:t>
      </w:r>
      <w:r>
        <w:rPr>
          <w:bCs/>
        </w:rPr>
        <w:t xml:space="preserve">ubsistence Expenses are </w:t>
      </w:r>
      <w:r w:rsidRPr="0065531A">
        <w:rPr>
          <w:bCs/>
          <w:u w:val="single"/>
        </w:rPr>
        <w:t>not</w:t>
      </w:r>
      <w:r>
        <w:rPr>
          <w:bCs/>
        </w:rPr>
        <w:t xml:space="preserve"> payable</w:t>
      </w:r>
    </w:p>
    <w:p w:rsidR="007D2396" w:rsidRDefault="007D2396">
      <w:pPr>
        <w:jc w:val="both"/>
        <w:rPr>
          <w:lang w:val="en-IE"/>
        </w:rPr>
      </w:pPr>
    </w:p>
    <w:p w:rsidR="000657C6" w:rsidRDefault="000657C6">
      <w:pPr>
        <w:jc w:val="both"/>
        <w:rPr>
          <w:lang w:val="en-IE"/>
        </w:rPr>
      </w:pPr>
    </w:p>
    <w:p w:rsidR="007D2396" w:rsidRDefault="000657C6" w:rsidP="000719A5">
      <w:pPr>
        <w:pStyle w:val="BodyText"/>
        <w:rPr>
          <w:b/>
          <w:bCs/>
          <w:lang w:val="en-IE"/>
        </w:rPr>
      </w:pPr>
      <w:r>
        <w:rPr>
          <w:b/>
          <w:bCs/>
          <w:lang w:val="en-IE"/>
        </w:rPr>
        <w:t>6.</w:t>
      </w:r>
      <w:r>
        <w:rPr>
          <w:b/>
          <w:bCs/>
          <w:lang w:val="en-IE"/>
        </w:rPr>
        <w:tab/>
        <w:t>RESPONSIBILITY OF</w:t>
      </w:r>
      <w:r w:rsidR="0065531A">
        <w:rPr>
          <w:b/>
          <w:bCs/>
          <w:lang w:val="en-IE"/>
        </w:rPr>
        <w:t xml:space="preserve"> </w:t>
      </w:r>
      <w:r>
        <w:rPr>
          <w:b/>
          <w:bCs/>
          <w:lang w:val="en-IE"/>
        </w:rPr>
        <w:t>THE APPLICANT</w:t>
      </w:r>
    </w:p>
    <w:p w:rsidR="007D2396" w:rsidRPr="00140C59" w:rsidRDefault="007D2396" w:rsidP="000719A5">
      <w:pPr>
        <w:pStyle w:val="BodyText"/>
        <w:ind w:left="720"/>
        <w:rPr>
          <w:lang w:val="en-US"/>
        </w:rPr>
      </w:pPr>
      <w:r w:rsidRPr="00140C59">
        <w:rPr>
          <w:lang w:val="en-US"/>
        </w:rPr>
        <w:t xml:space="preserve">On application for approval, and </w:t>
      </w:r>
      <w:r w:rsidR="000657C6" w:rsidRPr="00140C59">
        <w:rPr>
          <w:lang w:val="en-US"/>
        </w:rPr>
        <w:t xml:space="preserve">prior to </w:t>
      </w:r>
      <w:r w:rsidRPr="00140C59">
        <w:rPr>
          <w:lang w:val="en-US"/>
        </w:rPr>
        <w:t xml:space="preserve">any expenditure </w:t>
      </w:r>
      <w:r w:rsidR="000657C6" w:rsidRPr="00140C59">
        <w:rPr>
          <w:lang w:val="en-US"/>
        </w:rPr>
        <w:t xml:space="preserve">being </w:t>
      </w:r>
      <w:r w:rsidRPr="00140C59">
        <w:rPr>
          <w:lang w:val="en-US"/>
        </w:rPr>
        <w:t xml:space="preserve">incurred or registration procedures undertaken, </w:t>
      </w:r>
      <w:r w:rsidR="000657C6" w:rsidRPr="00140C59">
        <w:rPr>
          <w:lang w:val="en-US"/>
        </w:rPr>
        <w:t>the applicant</w:t>
      </w:r>
      <w:r w:rsidRPr="00140C59">
        <w:rPr>
          <w:lang w:val="en-US"/>
        </w:rPr>
        <w:t xml:space="preserve"> must sign an undertaking acknowledging that a refund of financial assistance received coul</w:t>
      </w:r>
      <w:r w:rsidR="008B37E1">
        <w:rPr>
          <w:lang w:val="en-US"/>
        </w:rPr>
        <w:t>d be required as a consequence i</w:t>
      </w:r>
      <w:r w:rsidRPr="00140C59">
        <w:rPr>
          <w:lang w:val="en-US"/>
        </w:rPr>
        <w:t>f either</w:t>
      </w:r>
      <w:r w:rsidR="000C3FE8" w:rsidRPr="00140C59">
        <w:rPr>
          <w:lang w:val="en-US"/>
        </w:rPr>
        <w:t xml:space="preserve"> any or </w:t>
      </w:r>
      <w:r w:rsidRPr="00140C59">
        <w:rPr>
          <w:lang w:val="en-US"/>
        </w:rPr>
        <w:t>all of the following</w:t>
      </w:r>
      <w:r w:rsidR="008B37E1">
        <w:rPr>
          <w:lang w:val="en-US"/>
        </w:rPr>
        <w:t xml:space="preserve"> occur</w:t>
      </w:r>
      <w:r w:rsidRPr="00140C59">
        <w:rPr>
          <w:lang w:val="en-US"/>
        </w:rPr>
        <w:t>:</w:t>
      </w:r>
    </w:p>
    <w:p w:rsidR="007D2396" w:rsidRDefault="007D2396" w:rsidP="000719A5">
      <w:pPr>
        <w:numPr>
          <w:ilvl w:val="0"/>
          <w:numId w:val="4"/>
        </w:numPr>
        <w:ind w:left="1080"/>
        <w:jc w:val="both"/>
      </w:pPr>
      <w:r>
        <w:t>An unsatisfactory attendance or work record related to the course.</w:t>
      </w:r>
    </w:p>
    <w:p w:rsidR="007D2396" w:rsidRDefault="007D2396" w:rsidP="000719A5">
      <w:pPr>
        <w:numPr>
          <w:ilvl w:val="0"/>
          <w:numId w:val="4"/>
        </w:numPr>
        <w:ind w:left="1080"/>
        <w:jc w:val="both"/>
      </w:pPr>
      <w:r>
        <w:t>The failure to provide annually</w:t>
      </w:r>
      <w:r w:rsidR="003F6AA9">
        <w:t>,</w:t>
      </w:r>
      <w:r>
        <w:t xml:space="preserve"> a satisfactory progress report from the provider of the course or the </w:t>
      </w:r>
      <w:r w:rsidR="00611815">
        <w:t>Dean of Faculty</w:t>
      </w:r>
      <w:r>
        <w:t>. This will usually take the form of certified exam results.</w:t>
      </w:r>
    </w:p>
    <w:p w:rsidR="0052239F" w:rsidRPr="00630377" w:rsidRDefault="007D2396" w:rsidP="000719A5">
      <w:pPr>
        <w:numPr>
          <w:ilvl w:val="0"/>
          <w:numId w:val="4"/>
        </w:numPr>
        <w:ind w:left="1080"/>
        <w:jc w:val="both"/>
      </w:pPr>
      <w:r>
        <w:t xml:space="preserve">The applicant leaving the service of </w:t>
      </w:r>
      <w:r w:rsidR="00D40818">
        <w:t>I</w:t>
      </w:r>
      <w:r w:rsidR="000C3FE8">
        <w:t xml:space="preserve">nstitute </w:t>
      </w:r>
      <w:r>
        <w:t>either before the completion of the course of study or within two years of the d</w:t>
      </w:r>
      <w:r w:rsidR="000C3FE8">
        <w:t>ate of completion of the course</w:t>
      </w:r>
      <w:r>
        <w:t xml:space="preserve"> (</w:t>
      </w:r>
      <w:r w:rsidR="000C3FE8" w:rsidRPr="000657C6">
        <w:rPr>
          <w:i/>
        </w:rPr>
        <w:t xml:space="preserve">pro </w:t>
      </w:r>
      <w:r w:rsidRPr="000657C6">
        <w:rPr>
          <w:i/>
        </w:rPr>
        <w:t>rata</w:t>
      </w:r>
      <w:r>
        <w:t xml:space="preserve"> </w:t>
      </w:r>
      <w:r w:rsidR="002B6E8E">
        <w:t>refund</w:t>
      </w:r>
      <w:r>
        <w:t xml:space="preserve"> may be made, if deemed appropriate).</w:t>
      </w:r>
    </w:p>
    <w:p w:rsidR="007D2396" w:rsidRPr="00630377" w:rsidRDefault="007D2396" w:rsidP="000719A5">
      <w:pPr>
        <w:pStyle w:val="BodyText"/>
        <w:rPr>
          <w:bCs/>
          <w:lang w:val="en-IE"/>
        </w:rPr>
      </w:pPr>
    </w:p>
    <w:p w:rsidR="007D2396" w:rsidRDefault="000657C6">
      <w:pPr>
        <w:pStyle w:val="BodyText"/>
        <w:rPr>
          <w:b/>
          <w:bCs/>
          <w:lang w:val="en-IE"/>
        </w:rPr>
      </w:pPr>
      <w:r>
        <w:rPr>
          <w:b/>
          <w:bCs/>
          <w:lang w:val="en-IE"/>
        </w:rPr>
        <w:t>7.</w:t>
      </w:r>
      <w:r>
        <w:rPr>
          <w:b/>
          <w:bCs/>
          <w:lang w:val="en-IE"/>
        </w:rPr>
        <w:tab/>
        <w:t>STUDY</w:t>
      </w:r>
      <w:r w:rsidR="0067521B">
        <w:rPr>
          <w:b/>
          <w:bCs/>
          <w:lang w:val="en-IE"/>
        </w:rPr>
        <w:t xml:space="preserve">/EXAM </w:t>
      </w:r>
      <w:r w:rsidR="004D4788">
        <w:rPr>
          <w:b/>
          <w:bCs/>
          <w:lang w:val="en-IE"/>
        </w:rPr>
        <w:t>LEAVE POLICY</w:t>
      </w:r>
      <w:r w:rsidR="000C4AB1">
        <w:rPr>
          <w:b/>
          <w:bCs/>
          <w:lang w:val="en-IE"/>
        </w:rPr>
        <w:t xml:space="preserve"> </w:t>
      </w:r>
    </w:p>
    <w:p w:rsidR="007D2396" w:rsidRDefault="007D2396" w:rsidP="000719A5">
      <w:pPr>
        <w:pStyle w:val="BodyText"/>
        <w:numPr>
          <w:ilvl w:val="0"/>
          <w:numId w:val="28"/>
        </w:numPr>
        <w:rPr>
          <w:lang w:val="en-IE"/>
        </w:rPr>
      </w:pPr>
      <w:r>
        <w:rPr>
          <w:lang w:val="en-IE"/>
        </w:rPr>
        <w:t>Study leave will be granted to a maximum of three days per year.</w:t>
      </w:r>
    </w:p>
    <w:p w:rsidR="00CE3DAC" w:rsidRDefault="007D2396" w:rsidP="000719A5">
      <w:pPr>
        <w:pStyle w:val="BodyText"/>
        <w:numPr>
          <w:ilvl w:val="0"/>
          <w:numId w:val="28"/>
        </w:numPr>
        <w:rPr>
          <w:lang w:val="en-IE"/>
        </w:rPr>
      </w:pPr>
      <w:r>
        <w:rPr>
          <w:lang w:val="en-IE"/>
        </w:rPr>
        <w:t>Study leave will not exceed 10 day</w:t>
      </w:r>
      <w:r w:rsidR="00A306C2">
        <w:rPr>
          <w:lang w:val="en-IE"/>
        </w:rPr>
        <w:t xml:space="preserve">s throughout the duration of </w:t>
      </w:r>
      <w:r w:rsidR="00042A4F">
        <w:rPr>
          <w:lang w:val="en-IE"/>
        </w:rPr>
        <w:t>any</w:t>
      </w:r>
      <w:r>
        <w:rPr>
          <w:lang w:val="en-IE"/>
        </w:rPr>
        <w:t xml:space="preserve"> course</w:t>
      </w:r>
      <w:r w:rsidR="00042A4F">
        <w:rPr>
          <w:lang w:val="en-IE"/>
        </w:rPr>
        <w:t xml:space="preserve"> as outlined in appendix A of Circular Letter F.45/82</w:t>
      </w:r>
    </w:p>
    <w:p w:rsidR="00500250" w:rsidRDefault="007C48C2" w:rsidP="000719A5">
      <w:pPr>
        <w:pStyle w:val="ListParagraph"/>
        <w:numPr>
          <w:ilvl w:val="0"/>
          <w:numId w:val="28"/>
        </w:numPr>
        <w:spacing w:after="160" w:line="259" w:lineRule="auto"/>
        <w:jc w:val="both"/>
      </w:pPr>
      <w:r w:rsidRPr="007C48C2">
        <w:t>Study leave for modular courses will also be granted on a pro rata basis.</w:t>
      </w:r>
    </w:p>
    <w:p w:rsidR="00500250" w:rsidRPr="00500250" w:rsidRDefault="007D2396" w:rsidP="000719A5">
      <w:pPr>
        <w:pStyle w:val="ListParagraph"/>
        <w:numPr>
          <w:ilvl w:val="0"/>
          <w:numId w:val="28"/>
        </w:numPr>
        <w:spacing w:after="160" w:line="259" w:lineRule="auto"/>
        <w:jc w:val="both"/>
      </w:pPr>
      <w:r w:rsidRPr="00500250">
        <w:rPr>
          <w:lang w:val="en-IE"/>
        </w:rPr>
        <w:t xml:space="preserve">Where </w:t>
      </w:r>
      <w:r w:rsidR="0012706E" w:rsidRPr="00500250">
        <w:rPr>
          <w:lang w:val="en-IE"/>
        </w:rPr>
        <w:t xml:space="preserve">a </w:t>
      </w:r>
      <w:r w:rsidRPr="00500250">
        <w:rPr>
          <w:lang w:val="en-IE"/>
        </w:rPr>
        <w:t xml:space="preserve">staff </w:t>
      </w:r>
      <w:r w:rsidR="0012706E" w:rsidRPr="00500250">
        <w:rPr>
          <w:lang w:val="en-IE"/>
        </w:rPr>
        <w:t xml:space="preserve">member </w:t>
      </w:r>
      <w:r w:rsidRPr="00500250">
        <w:rPr>
          <w:lang w:val="en-IE"/>
        </w:rPr>
        <w:t>attend</w:t>
      </w:r>
      <w:r w:rsidR="0012706E" w:rsidRPr="00500250">
        <w:rPr>
          <w:lang w:val="en-IE"/>
        </w:rPr>
        <w:t>s</w:t>
      </w:r>
      <w:r w:rsidRPr="00500250">
        <w:rPr>
          <w:lang w:val="en-IE"/>
        </w:rPr>
        <w:t xml:space="preserve"> courses within AIT, they may be granted a maximum of </w:t>
      </w:r>
      <w:r w:rsidR="00456F2B" w:rsidRPr="00500250">
        <w:rPr>
          <w:lang w:val="en-IE"/>
        </w:rPr>
        <w:t>three</w:t>
      </w:r>
      <w:r w:rsidRPr="00500250">
        <w:rPr>
          <w:lang w:val="en-IE"/>
        </w:rPr>
        <w:t xml:space="preserve"> hours a week time off to attend classes. This is at the </w:t>
      </w:r>
      <w:r w:rsidR="002501F8" w:rsidRPr="00500250">
        <w:rPr>
          <w:lang w:val="en-IE"/>
        </w:rPr>
        <w:t xml:space="preserve">approval and </w:t>
      </w:r>
      <w:r w:rsidRPr="00500250">
        <w:rPr>
          <w:lang w:val="en-IE"/>
        </w:rPr>
        <w:t>discretion of their line manager.</w:t>
      </w:r>
    </w:p>
    <w:p w:rsidR="00500250" w:rsidRPr="00500250" w:rsidRDefault="0067521B" w:rsidP="000719A5">
      <w:pPr>
        <w:pStyle w:val="ListParagraph"/>
        <w:numPr>
          <w:ilvl w:val="0"/>
          <w:numId w:val="28"/>
        </w:numPr>
        <w:spacing w:after="160" w:line="259" w:lineRule="auto"/>
        <w:jc w:val="both"/>
      </w:pPr>
      <w:r w:rsidRPr="00500250">
        <w:rPr>
          <w:lang w:val="en-IE"/>
        </w:rPr>
        <w:t>Leave to attend an exam will be given on the submission of the relevant examination timetable.  A half days leave will be granted to staff members sitting an exam in Athlone</w:t>
      </w:r>
      <w:r w:rsidR="00D24AD7" w:rsidRPr="00500250">
        <w:rPr>
          <w:lang w:val="en-IE"/>
        </w:rPr>
        <w:t xml:space="preserve"> Institute </w:t>
      </w:r>
      <w:r w:rsidRPr="00500250">
        <w:rPr>
          <w:lang w:val="en-IE"/>
        </w:rPr>
        <w:t xml:space="preserve">and a days leave for those exams which take place outside of Athlone </w:t>
      </w:r>
      <w:r w:rsidR="00D24AD7" w:rsidRPr="00500250">
        <w:rPr>
          <w:lang w:val="en-IE"/>
        </w:rPr>
        <w:t xml:space="preserve">Institute </w:t>
      </w:r>
      <w:r w:rsidRPr="00500250">
        <w:rPr>
          <w:lang w:val="en-IE"/>
        </w:rPr>
        <w:t>(</w:t>
      </w:r>
      <w:r w:rsidRPr="00500250">
        <w:rPr>
          <w:i/>
          <w:lang w:val="en-IE"/>
        </w:rPr>
        <w:t>this is to take in requisite travel time</w:t>
      </w:r>
      <w:r w:rsidRPr="00500250">
        <w:rPr>
          <w:lang w:val="en-IE"/>
        </w:rPr>
        <w:t>)</w:t>
      </w:r>
    </w:p>
    <w:p w:rsidR="00373F29" w:rsidRPr="00373F29" w:rsidRDefault="0067521B" w:rsidP="000719A5">
      <w:pPr>
        <w:pStyle w:val="ListParagraph"/>
        <w:numPr>
          <w:ilvl w:val="0"/>
          <w:numId w:val="28"/>
        </w:numPr>
        <w:spacing w:after="160" w:line="259" w:lineRule="auto"/>
        <w:jc w:val="both"/>
      </w:pPr>
      <w:r w:rsidRPr="00500250">
        <w:rPr>
          <w:lang w:val="en-IE"/>
        </w:rPr>
        <w:t xml:space="preserve">Due to the current difficult economic situation and due to resource constraints the Institute will consider where possible providing a staff member with some time off for the final completion/writing up of their PhD.  A staff </w:t>
      </w:r>
      <w:r w:rsidR="00E6607E" w:rsidRPr="00500250">
        <w:rPr>
          <w:lang w:val="en-IE"/>
        </w:rPr>
        <w:t>member who wish</w:t>
      </w:r>
      <w:r w:rsidR="003F4A93" w:rsidRPr="00500250">
        <w:rPr>
          <w:lang w:val="en-IE"/>
        </w:rPr>
        <w:t xml:space="preserve">es to avail of this </w:t>
      </w:r>
      <w:r w:rsidR="003F4A93" w:rsidRPr="00500250">
        <w:rPr>
          <w:color w:val="000000" w:themeColor="text1"/>
          <w:lang w:val="en-IE"/>
        </w:rPr>
        <w:t>should</w:t>
      </w:r>
      <w:r w:rsidR="00E6607E" w:rsidRPr="00500250">
        <w:rPr>
          <w:color w:val="000000" w:themeColor="text1"/>
          <w:lang w:val="en-IE"/>
        </w:rPr>
        <w:t xml:space="preserve"> </w:t>
      </w:r>
      <w:r w:rsidR="00A62083" w:rsidRPr="00500250">
        <w:rPr>
          <w:color w:val="000000" w:themeColor="text1"/>
          <w:lang w:val="en-IE"/>
        </w:rPr>
        <w:t>receive</w:t>
      </w:r>
      <w:r w:rsidR="007B101B" w:rsidRPr="00500250">
        <w:rPr>
          <w:color w:val="000000" w:themeColor="text1"/>
          <w:lang w:val="en-IE"/>
        </w:rPr>
        <w:t xml:space="preserve"> approval from</w:t>
      </w:r>
      <w:r w:rsidR="00E6607E" w:rsidRPr="00500250">
        <w:rPr>
          <w:color w:val="000000" w:themeColor="text1"/>
          <w:lang w:val="en-IE"/>
        </w:rPr>
        <w:t xml:space="preserve"> </w:t>
      </w:r>
      <w:r w:rsidR="00E6607E" w:rsidRPr="00500250">
        <w:rPr>
          <w:lang w:val="en-IE"/>
        </w:rPr>
        <w:t xml:space="preserve">his or her </w:t>
      </w:r>
      <w:r w:rsidR="00DF1981">
        <w:rPr>
          <w:lang w:val="en-IE"/>
        </w:rPr>
        <w:t>faculty</w:t>
      </w:r>
      <w:r w:rsidRPr="00500250">
        <w:rPr>
          <w:lang w:val="en-IE"/>
        </w:rPr>
        <w:t xml:space="preserve"> or functional area</w:t>
      </w:r>
      <w:r w:rsidR="003F4A93" w:rsidRPr="00500250">
        <w:rPr>
          <w:lang w:val="en-IE"/>
        </w:rPr>
        <w:t>.</w:t>
      </w:r>
    </w:p>
    <w:p w:rsidR="00373F29" w:rsidRDefault="00373F29" w:rsidP="000719A5">
      <w:pPr>
        <w:pStyle w:val="ListParagraph"/>
        <w:numPr>
          <w:ilvl w:val="0"/>
          <w:numId w:val="28"/>
        </w:numPr>
        <w:spacing w:after="160" w:line="259" w:lineRule="auto"/>
        <w:jc w:val="both"/>
      </w:pPr>
      <w:r w:rsidRPr="00DE69D7">
        <w:t>Applications must be accompanied by examination or evidence of requirement to submit assignments or thesis or similar course work and should receive the approval of the appropriate Manager</w:t>
      </w:r>
      <w:r>
        <w:t>/ Head of Department.</w:t>
      </w:r>
    </w:p>
    <w:p w:rsidR="00373F29" w:rsidRPr="00500250" w:rsidRDefault="00373F29" w:rsidP="000719A5">
      <w:pPr>
        <w:pStyle w:val="ListParagraph"/>
        <w:numPr>
          <w:ilvl w:val="0"/>
          <w:numId w:val="28"/>
        </w:numPr>
        <w:spacing w:after="160" w:line="259" w:lineRule="auto"/>
        <w:jc w:val="both"/>
      </w:pPr>
      <w:r w:rsidRPr="00373F29">
        <w:rPr>
          <w:lang w:val="en-IE"/>
        </w:rPr>
        <w:lastRenderedPageBreak/>
        <w:t>Staff members must seek approval and agree a schedule of examination and study leave with the line manager at the commencement of each year/semester of their course or study programme.  This is essential so as to ensure the least disruption as possible to delivery of services.</w:t>
      </w:r>
    </w:p>
    <w:p w:rsidR="00140C59" w:rsidRDefault="00140C59">
      <w:pPr>
        <w:pStyle w:val="BodyText"/>
        <w:rPr>
          <w:lang w:val="en-IE"/>
        </w:rPr>
      </w:pPr>
    </w:p>
    <w:p w:rsidR="00B70FAA" w:rsidRDefault="00177FE5" w:rsidP="0065531A">
      <w:pPr>
        <w:pStyle w:val="BodyText"/>
        <w:rPr>
          <w:b/>
          <w:bCs/>
          <w:lang w:val="en-IE"/>
        </w:rPr>
      </w:pPr>
      <w:r>
        <w:rPr>
          <w:b/>
          <w:bCs/>
          <w:lang w:val="en-IE"/>
        </w:rPr>
        <w:t>8</w:t>
      </w:r>
      <w:r w:rsidR="00DE69D7">
        <w:rPr>
          <w:b/>
          <w:bCs/>
          <w:lang w:val="en-IE"/>
        </w:rPr>
        <w:t>.</w:t>
      </w:r>
      <w:r w:rsidR="009A2886">
        <w:rPr>
          <w:b/>
          <w:bCs/>
          <w:lang w:val="en-IE"/>
        </w:rPr>
        <w:tab/>
        <w:t>EXTENUATING CIRCUMSTANCES</w:t>
      </w:r>
    </w:p>
    <w:p w:rsidR="007D2396" w:rsidRDefault="009A2886" w:rsidP="00B70FAA">
      <w:pPr>
        <w:pStyle w:val="BodyText"/>
        <w:ind w:left="720"/>
        <w:rPr>
          <w:b/>
          <w:bCs/>
          <w:lang w:val="en-IE"/>
        </w:rPr>
      </w:pPr>
      <w:r>
        <w:rPr>
          <w:b/>
          <w:bCs/>
          <w:lang w:val="en-IE"/>
        </w:rPr>
        <w:t>(</w:t>
      </w:r>
      <w:r w:rsidR="00373F29">
        <w:rPr>
          <w:b/>
          <w:bCs/>
          <w:lang w:val="en-IE"/>
        </w:rPr>
        <w:t xml:space="preserve">i.e. </w:t>
      </w:r>
      <w:r w:rsidR="00B70FAA">
        <w:rPr>
          <w:b/>
          <w:bCs/>
          <w:lang w:val="en-IE"/>
        </w:rPr>
        <w:t xml:space="preserve">applications for </w:t>
      </w:r>
      <w:r>
        <w:rPr>
          <w:b/>
          <w:bCs/>
          <w:lang w:val="en-IE"/>
        </w:rPr>
        <w:t xml:space="preserve">courses </w:t>
      </w:r>
      <w:r w:rsidR="00B70FAA">
        <w:rPr>
          <w:b/>
          <w:bCs/>
          <w:lang w:val="en-IE"/>
        </w:rPr>
        <w:t xml:space="preserve">taking place </w:t>
      </w:r>
      <w:r>
        <w:rPr>
          <w:b/>
          <w:bCs/>
          <w:lang w:val="en-IE"/>
        </w:rPr>
        <w:t>between</w:t>
      </w:r>
      <w:r w:rsidR="00C8303F">
        <w:rPr>
          <w:b/>
          <w:bCs/>
          <w:lang w:val="en-IE"/>
        </w:rPr>
        <w:t xml:space="preserve"> the Professional Development</w:t>
      </w:r>
      <w:r>
        <w:rPr>
          <w:b/>
          <w:bCs/>
          <w:lang w:val="en-IE"/>
        </w:rPr>
        <w:t xml:space="preserve"> meetings)</w:t>
      </w:r>
    </w:p>
    <w:p w:rsidR="009A2886" w:rsidRDefault="007D2396" w:rsidP="000719A5">
      <w:pPr>
        <w:pStyle w:val="BodyText"/>
        <w:ind w:left="720"/>
        <w:rPr>
          <w:lang w:val="en-IE"/>
        </w:rPr>
      </w:pPr>
      <w:r>
        <w:rPr>
          <w:lang w:val="en-IE"/>
        </w:rPr>
        <w:t xml:space="preserve">Identification of staff development needs must be a carefully planned ongoing activity between the staff member and their </w:t>
      </w:r>
      <w:r w:rsidR="009A2886">
        <w:rPr>
          <w:lang w:val="en-IE"/>
        </w:rPr>
        <w:t>departmental/functional head</w:t>
      </w:r>
      <w:r>
        <w:rPr>
          <w:lang w:val="en-IE"/>
        </w:rPr>
        <w:t xml:space="preserve">. In certain </w:t>
      </w:r>
      <w:r w:rsidR="00456F2B">
        <w:rPr>
          <w:lang w:val="en-IE"/>
        </w:rPr>
        <w:t xml:space="preserve">exceptional </w:t>
      </w:r>
      <w:r>
        <w:rPr>
          <w:lang w:val="en-IE"/>
        </w:rPr>
        <w:t xml:space="preserve">circumstances courses requiring immediate approval may </w:t>
      </w:r>
      <w:r w:rsidR="009A2886">
        <w:rPr>
          <w:lang w:val="en-IE"/>
        </w:rPr>
        <w:t xml:space="preserve">happen </w:t>
      </w:r>
      <w:r>
        <w:rPr>
          <w:lang w:val="en-IE"/>
        </w:rPr>
        <w:t>between meetings</w:t>
      </w:r>
      <w:r w:rsidR="00456F2B">
        <w:rPr>
          <w:lang w:val="en-IE"/>
        </w:rPr>
        <w:t xml:space="preserve"> or</w:t>
      </w:r>
      <w:r w:rsidR="00560C4D">
        <w:rPr>
          <w:lang w:val="en-IE"/>
        </w:rPr>
        <w:t xml:space="preserve"> during the S</w:t>
      </w:r>
      <w:r w:rsidR="00456F2B">
        <w:rPr>
          <w:lang w:val="en-IE"/>
        </w:rPr>
        <w:t>ummer period when the committee is out of session</w:t>
      </w:r>
      <w:r>
        <w:rPr>
          <w:lang w:val="en-IE"/>
        </w:rPr>
        <w:t xml:space="preserve">. </w:t>
      </w:r>
    </w:p>
    <w:p w:rsidR="0065531A" w:rsidRDefault="0065531A" w:rsidP="000719A5">
      <w:pPr>
        <w:pStyle w:val="BodyText"/>
        <w:ind w:left="720"/>
        <w:rPr>
          <w:lang w:val="en-IE"/>
        </w:rPr>
      </w:pPr>
    </w:p>
    <w:p w:rsidR="0052239F" w:rsidRDefault="0065531A" w:rsidP="000719A5">
      <w:pPr>
        <w:pStyle w:val="BodyText"/>
        <w:ind w:left="720"/>
        <w:rPr>
          <w:lang w:val="en-IE"/>
        </w:rPr>
      </w:pPr>
      <w:r>
        <w:rPr>
          <w:lang w:val="en-IE"/>
        </w:rPr>
        <w:t xml:space="preserve">Applications </w:t>
      </w:r>
      <w:r w:rsidR="009A2886">
        <w:rPr>
          <w:lang w:val="en-IE"/>
        </w:rPr>
        <w:t>cost</w:t>
      </w:r>
      <w:r>
        <w:rPr>
          <w:lang w:val="en-IE"/>
        </w:rPr>
        <w:t>ing less tha</w:t>
      </w:r>
      <w:r w:rsidR="009A2886">
        <w:rPr>
          <w:lang w:val="en-IE"/>
        </w:rPr>
        <w:t>n €</w:t>
      </w:r>
      <w:r w:rsidR="007B101B">
        <w:rPr>
          <w:lang w:val="en-IE"/>
        </w:rPr>
        <w:t>1,000</w:t>
      </w:r>
      <w:r w:rsidR="007D3ED3">
        <w:rPr>
          <w:lang w:val="en-IE"/>
        </w:rPr>
        <w:t xml:space="preserve"> may be approved by</w:t>
      </w:r>
      <w:r>
        <w:rPr>
          <w:lang w:val="en-IE"/>
        </w:rPr>
        <w:t xml:space="preserve"> the HR </w:t>
      </w:r>
      <w:r w:rsidR="007D3ED3">
        <w:rPr>
          <w:lang w:val="en-IE"/>
        </w:rPr>
        <w:t xml:space="preserve">Manager </w:t>
      </w:r>
      <w:r w:rsidR="009A2886">
        <w:rPr>
          <w:lang w:val="en-IE"/>
        </w:rPr>
        <w:t xml:space="preserve">and these must be noted to the subsequent meeting of the </w:t>
      </w:r>
      <w:r w:rsidR="006D68EE">
        <w:rPr>
          <w:lang w:val="en-IE"/>
        </w:rPr>
        <w:t>professional</w:t>
      </w:r>
      <w:r w:rsidR="009A2886">
        <w:rPr>
          <w:lang w:val="en-IE"/>
        </w:rPr>
        <w:t xml:space="preserve"> development committee.</w:t>
      </w:r>
    </w:p>
    <w:p w:rsidR="009A2886" w:rsidRDefault="009A2886">
      <w:pPr>
        <w:pStyle w:val="BodyText"/>
        <w:rPr>
          <w:lang w:val="en-IE"/>
        </w:rPr>
      </w:pPr>
    </w:p>
    <w:p w:rsidR="00E6607E" w:rsidRDefault="00177FE5">
      <w:pPr>
        <w:pStyle w:val="BodyText"/>
        <w:rPr>
          <w:b/>
          <w:bCs/>
        </w:rPr>
      </w:pPr>
      <w:r>
        <w:rPr>
          <w:b/>
          <w:bCs/>
        </w:rPr>
        <w:t>9</w:t>
      </w:r>
      <w:r w:rsidR="00DE69D7">
        <w:rPr>
          <w:b/>
          <w:bCs/>
        </w:rPr>
        <w:t>.</w:t>
      </w:r>
      <w:r w:rsidR="00456F2B">
        <w:rPr>
          <w:b/>
          <w:bCs/>
        </w:rPr>
        <w:tab/>
      </w:r>
      <w:r w:rsidR="00E6607E">
        <w:rPr>
          <w:b/>
          <w:bCs/>
        </w:rPr>
        <w:t>APPEAL</w:t>
      </w:r>
    </w:p>
    <w:p w:rsidR="00EC5634" w:rsidRPr="00E034C2" w:rsidRDefault="00EC5634" w:rsidP="000719A5">
      <w:pPr>
        <w:pStyle w:val="BodyText"/>
        <w:ind w:left="720"/>
        <w:jc w:val="left"/>
        <w:rPr>
          <w:bCs/>
          <w:color w:val="000000" w:themeColor="text1"/>
        </w:rPr>
      </w:pPr>
      <w:r w:rsidRPr="00E034C2">
        <w:rPr>
          <w:bCs/>
          <w:color w:val="000000" w:themeColor="text1"/>
        </w:rPr>
        <w:t xml:space="preserve">In the event a staff member wishes to appeal the </w:t>
      </w:r>
      <w:r w:rsidR="003F4A93" w:rsidRPr="00E034C2">
        <w:rPr>
          <w:bCs/>
          <w:color w:val="000000" w:themeColor="text1"/>
        </w:rPr>
        <w:t>rejection</w:t>
      </w:r>
      <w:r w:rsidRPr="00E034C2">
        <w:rPr>
          <w:bCs/>
          <w:color w:val="000000" w:themeColor="text1"/>
        </w:rPr>
        <w:t xml:space="preserve"> of their</w:t>
      </w:r>
      <w:r w:rsidR="00E7314C" w:rsidRPr="00E034C2">
        <w:rPr>
          <w:bCs/>
          <w:color w:val="000000" w:themeColor="text1"/>
        </w:rPr>
        <w:t xml:space="preserve"> application</w:t>
      </w:r>
      <w:r w:rsidRPr="00E034C2">
        <w:rPr>
          <w:bCs/>
          <w:color w:val="000000" w:themeColor="text1"/>
        </w:rPr>
        <w:t xml:space="preserve"> for funding the following procedure will apply:</w:t>
      </w:r>
    </w:p>
    <w:p w:rsidR="00EC5634" w:rsidRPr="00E034C2" w:rsidRDefault="00EC5634" w:rsidP="000719A5">
      <w:pPr>
        <w:pStyle w:val="BodyText"/>
        <w:numPr>
          <w:ilvl w:val="0"/>
          <w:numId w:val="31"/>
        </w:numPr>
        <w:jc w:val="left"/>
        <w:rPr>
          <w:bCs/>
          <w:color w:val="000000" w:themeColor="text1"/>
        </w:rPr>
      </w:pPr>
      <w:r w:rsidRPr="00E034C2">
        <w:rPr>
          <w:bCs/>
          <w:color w:val="000000" w:themeColor="text1"/>
        </w:rPr>
        <w:t>The Employee is required to submit a written request for re-</w:t>
      </w:r>
      <w:r w:rsidR="00E7314C" w:rsidRPr="00E034C2">
        <w:rPr>
          <w:bCs/>
          <w:color w:val="000000" w:themeColor="text1"/>
        </w:rPr>
        <w:t>consideration</w:t>
      </w:r>
      <w:r w:rsidRPr="00E034C2">
        <w:rPr>
          <w:bCs/>
          <w:color w:val="000000" w:themeColor="text1"/>
        </w:rPr>
        <w:t xml:space="preserve"> back to the Professional Development Committee. </w:t>
      </w:r>
    </w:p>
    <w:p w:rsidR="00E6607E" w:rsidRDefault="00C93DF3" w:rsidP="000719A5">
      <w:pPr>
        <w:pStyle w:val="BodyText"/>
        <w:numPr>
          <w:ilvl w:val="0"/>
          <w:numId w:val="31"/>
        </w:numPr>
        <w:jc w:val="left"/>
        <w:rPr>
          <w:bCs/>
          <w:color w:val="000000" w:themeColor="text1"/>
        </w:rPr>
      </w:pPr>
      <w:r w:rsidRPr="00E034C2">
        <w:rPr>
          <w:bCs/>
          <w:color w:val="000000" w:themeColor="text1"/>
        </w:rPr>
        <w:t>If still unsatisfied with the outcome they may further appeal the decision</w:t>
      </w:r>
      <w:r w:rsidR="001539F1" w:rsidRPr="00E034C2">
        <w:rPr>
          <w:bCs/>
          <w:color w:val="000000" w:themeColor="text1"/>
        </w:rPr>
        <w:t>, in writing,</w:t>
      </w:r>
      <w:r w:rsidRPr="00E034C2">
        <w:rPr>
          <w:bCs/>
          <w:color w:val="000000" w:themeColor="text1"/>
        </w:rPr>
        <w:t xml:space="preserve"> to the </w:t>
      </w:r>
      <w:r w:rsidR="00D40818">
        <w:rPr>
          <w:bCs/>
          <w:color w:val="000000" w:themeColor="text1"/>
        </w:rPr>
        <w:t>I</w:t>
      </w:r>
      <w:r w:rsidRPr="00E034C2">
        <w:rPr>
          <w:bCs/>
          <w:color w:val="000000" w:themeColor="text1"/>
        </w:rPr>
        <w:t xml:space="preserve">nstitute’s </w:t>
      </w:r>
      <w:r w:rsidR="007D3ED3">
        <w:rPr>
          <w:bCs/>
          <w:color w:val="000000" w:themeColor="text1"/>
        </w:rPr>
        <w:t>Academic C</w:t>
      </w:r>
      <w:r w:rsidR="00E6607E" w:rsidRPr="00E034C2">
        <w:rPr>
          <w:bCs/>
          <w:color w:val="000000" w:themeColor="text1"/>
        </w:rPr>
        <w:t>ouncil</w:t>
      </w:r>
      <w:r w:rsidRPr="00E034C2">
        <w:rPr>
          <w:bCs/>
          <w:color w:val="000000" w:themeColor="text1"/>
        </w:rPr>
        <w:t>.</w:t>
      </w:r>
    </w:p>
    <w:p w:rsidR="00177FE5" w:rsidRDefault="00177FE5" w:rsidP="000719A5">
      <w:pPr>
        <w:pStyle w:val="BodyText"/>
        <w:jc w:val="left"/>
        <w:rPr>
          <w:b/>
          <w:bCs/>
        </w:rPr>
      </w:pPr>
    </w:p>
    <w:p w:rsidR="007D2396" w:rsidRDefault="00177FE5">
      <w:pPr>
        <w:pStyle w:val="BodyText"/>
        <w:rPr>
          <w:b/>
          <w:bCs/>
        </w:rPr>
      </w:pPr>
      <w:r>
        <w:rPr>
          <w:b/>
          <w:bCs/>
        </w:rPr>
        <w:t>10</w:t>
      </w:r>
      <w:r w:rsidR="00DE69D7">
        <w:rPr>
          <w:b/>
          <w:bCs/>
        </w:rPr>
        <w:t>.</w:t>
      </w:r>
      <w:r w:rsidR="00E6607E">
        <w:rPr>
          <w:b/>
          <w:bCs/>
        </w:rPr>
        <w:tab/>
      </w:r>
      <w:r w:rsidR="00456F2B">
        <w:rPr>
          <w:b/>
          <w:bCs/>
        </w:rPr>
        <w:t>REVIEW</w:t>
      </w:r>
    </w:p>
    <w:p w:rsidR="0065531A" w:rsidRDefault="007D2396" w:rsidP="000719A5">
      <w:pPr>
        <w:ind w:left="720"/>
        <w:rPr>
          <w:color w:val="000000" w:themeColor="text1"/>
          <w:lang w:val="en-IE"/>
        </w:rPr>
      </w:pPr>
      <w:r>
        <w:rPr>
          <w:lang w:val="en-IE"/>
        </w:rPr>
        <w:t>Th</w:t>
      </w:r>
      <w:r w:rsidR="00D40818">
        <w:rPr>
          <w:lang w:val="en-IE"/>
        </w:rPr>
        <w:t>is policy is</w:t>
      </w:r>
      <w:r>
        <w:rPr>
          <w:lang w:val="en-IE"/>
        </w:rPr>
        <w:t xml:space="preserve"> </w:t>
      </w:r>
      <w:r w:rsidR="00140C59">
        <w:rPr>
          <w:lang w:val="en-IE"/>
        </w:rPr>
        <w:t xml:space="preserve">subject to review </w:t>
      </w:r>
      <w:r w:rsidR="0065531A">
        <w:rPr>
          <w:lang w:val="en-IE"/>
        </w:rPr>
        <w:t>by the Professional</w:t>
      </w:r>
      <w:r>
        <w:rPr>
          <w:lang w:val="en-IE"/>
        </w:rPr>
        <w:t xml:space="preserve"> Develop</w:t>
      </w:r>
      <w:r w:rsidR="0065531A">
        <w:rPr>
          <w:lang w:val="en-IE"/>
        </w:rPr>
        <w:t xml:space="preserve">ment Committee </w:t>
      </w:r>
      <w:r w:rsidR="005A0F6E">
        <w:rPr>
          <w:lang w:val="en-IE"/>
        </w:rPr>
        <w:t>if</w:t>
      </w:r>
      <w:r w:rsidR="005A0F6E">
        <w:rPr>
          <w:color w:val="000000" w:themeColor="text1"/>
          <w:lang w:val="en-IE"/>
        </w:rPr>
        <w:t xml:space="preserve"> deemed</w:t>
      </w:r>
      <w:r w:rsidR="007B101B" w:rsidRPr="00E034C2">
        <w:rPr>
          <w:color w:val="000000" w:themeColor="text1"/>
          <w:lang w:val="en-IE"/>
        </w:rPr>
        <w:t xml:space="preserve"> necessary, or at least every two years</w:t>
      </w:r>
      <w:r w:rsidR="0065531A" w:rsidRPr="00E034C2">
        <w:rPr>
          <w:color w:val="000000" w:themeColor="text1"/>
          <w:lang w:val="en-IE"/>
        </w:rPr>
        <w:t>.</w:t>
      </w:r>
    </w:p>
    <w:p w:rsidR="005A0F6E" w:rsidRDefault="005A0F6E" w:rsidP="000719A5">
      <w:pPr>
        <w:ind w:left="720"/>
        <w:rPr>
          <w:color w:val="000000" w:themeColor="text1"/>
          <w:lang w:val="en-IE"/>
        </w:rPr>
      </w:pPr>
    </w:p>
    <w:p w:rsidR="005A0F6E" w:rsidRDefault="005A0F6E" w:rsidP="00456F2B">
      <w:pPr>
        <w:ind w:left="720"/>
        <w:jc w:val="both"/>
        <w:rPr>
          <w:color w:val="000000" w:themeColor="text1"/>
          <w:lang w:val="en-IE"/>
        </w:rPr>
      </w:pPr>
    </w:p>
    <w:tbl>
      <w:tblPr>
        <w:tblStyle w:val="TableGrid"/>
        <w:tblW w:w="0" w:type="auto"/>
        <w:tblInd w:w="846" w:type="dxa"/>
        <w:tblLayout w:type="fixed"/>
        <w:tblLook w:val="04A0" w:firstRow="1" w:lastRow="0" w:firstColumn="1" w:lastColumn="0" w:noHBand="0" w:noVBand="1"/>
      </w:tblPr>
      <w:tblGrid>
        <w:gridCol w:w="1134"/>
        <w:gridCol w:w="1701"/>
        <w:gridCol w:w="1843"/>
        <w:gridCol w:w="1603"/>
        <w:gridCol w:w="1373"/>
      </w:tblGrid>
      <w:tr w:rsidR="005A0F6E" w:rsidRPr="005A0F6E" w:rsidTr="00CE21E0">
        <w:tc>
          <w:tcPr>
            <w:tcW w:w="7654" w:type="dxa"/>
            <w:gridSpan w:val="5"/>
          </w:tcPr>
          <w:p w:rsidR="005A0F6E" w:rsidRPr="00A63836" w:rsidRDefault="005A0F6E" w:rsidP="005A0F6E">
            <w:pPr>
              <w:jc w:val="center"/>
              <w:rPr>
                <w:b/>
                <w:color w:val="000000" w:themeColor="text1"/>
                <w:lang w:val="en-IE"/>
              </w:rPr>
            </w:pPr>
            <w:r w:rsidRPr="00A63836">
              <w:rPr>
                <w:b/>
                <w:color w:val="000000" w:themeColor="text1"/>
                <w:lang w:val="en-IE"/>
              </w:rPr>
              <w:t>Revision History</w:t>
            </w:r>
          </w:p>
        </w:tc>
      </w:tr>
      <w:tr w:rsidR="00CE21E0" w:rsidTr="00CE21E0">
        <w:tc>
          <w:tcPr>
            <w:tcW w:w="1134" w:type="dxa"/>
          </w:tcPr>
          <w:p w:rsidR="005A0F6E" w:rsidRPr="00A63836" w:rsidRDefault="005A0F6E" w:rsidP="005A0F6E">
            <w:pPr>
              <w:jc w:val="center"/>
              <w:rPr>
                <w:b/>
                <w:color w:val="000000" w:themeColor="text1"/>
                <w:lang w:val="en-IE"/>
              </w:rPr>
            </w:pPr>
            <w:r w:rsidRPr="00A63836">
              <w:rPr>
                <w:b/>
                <w:color w:val="000000" w:themeColor="text1"/>
                <w:lang w:val="en-IE"/>
              </w:rPr>
              <w:t>Revision</w:t>
            </w:r>
          </w:p>
        </w:tc>
        <w:tc>
          <w:tcPr>
            <w:tcW w:w="1701" w:type="dxa"/>
          </w:tcPr>
          <w:p w:rsidR="005A0F6E" w:rsidRPr="00A63836" w:rsidRDefault="005A0F6E" w:rsidP="005A0F6E">
            <w:pPr>
              <w:jc w:val="center"/>
              <w:rPr>
                <w:b/>
                <w:color w:val="000000" w:themeColor="text1"/>
                <w:lang w:val="en-IE"/>
              </w:rPr>
            </w:pPr>
            <w:r w:rsidRPr="00A63836">
              <w:rPr>
                <w:b/>
                <w:color w:val="000000" w:themeColor="text1"/>
                <w:lang w:val="en-IE"/>
              </w:rPr>
              <w:t>Date</w:t>
            </w:r>
          </w:p>
        </w:tc>
        <w:tc>
          <w:tcPr>
            <w:tcW w:w="1843" w:type="dxa"/>
          </w:tcPr>
          <w:p w:rsidR="005A0F6E" w:rsidRPr="00A63836" w:rsidRDefault="005A0F6E" w:rsidP="005A0F6E">
            <w:pPr>
              <w:jc w:val="center"/>
              <w:rPr>
                <w:b/>
                <w:color w:val="000000" w:themeColor="text1"/>
                <w:lang w:val="en-IE"/>
              </w:rPr>
            </w:pPr>
            <w:r w:rsidRPr="00A63836">
              <w:rPr>
                <w:b/>
                <w:color w:val="000000" w:themeColor="text1"/>
                <w:lang w:val="en-IE"/>
              </w:rPr>
              <w:t>Revision Description</w:t>
            </w:r>
          </w:p>
        </w:tc>
        <w:tc>
          <w:tcPr>
            <w:tcW w:w="1603" w:type="dxa"/>
          </w:tcPr>
          <w:p w:rsidR="005A0F6E" w:rsidRPr="00A63836" w:rsidRDefault="005A0F6E" w:rsidP="005A0F6E">
            <w:pPr>
              <w:jc w:val="center"/>
              <w:rPr>
                <w:b/>
                <w:color w:val="000000" w:themeColor="text1"/>
                <w:lang w:val="en-IE"/>
              </w:rPr>
            </w:pPr>
            <w:r w:rsidRPr="00A63836">
              <w:rPr>
                <w:b/>
                <w:color w:val="000000" w:themeColor="text1"/>
                <w:lang w:val="en-IE"/>
              </w:rPr>
              <w:t>Originator</w:t>
            </w:r>
          </w:p>
        </w:tc>
        <w:tc>
          <w:tcPr>
            <w:tcW w:w="1373" w:type="dxa"/>
          </w:tcPr>
          <w:p w:rsidR="005A0F6E" w:rsidRPr="00A63836" w:rsidRDefault="005A0F6E" w:rsidP="005A0F6E">
            <w:pPr>
              <w:jc w:val="center"/>
              <w:rPr>
                <w:b/>
                <w:color w:val="000000" w:themeColor="text1"/>
                <w:lang w:val="en-IE"/>
              </w:rPr>
            </w:pPr>
            <w:r w:rsidRPr="00A63836">
              <w:rPr>
                <w:b/>
                <w:color w:val="000000" w:themeColor="text1"/>
                <w:lang w:val="en-IE"/>
              </w:rPr>
              <w:t>Next Renewal Date</w:t>
            </w:r>
          </w:p>
        </w:tc>
      </w:tr>
      <w:tr w:rsidR="00CE21E0" w:rsidTr="00CE21E0">
        <w:tc>
          <w:tcPr>
            <w:tcW w:w="1134" w:type="dxa"/>
          </w:tcPr>
          <w:p w:rsidR="005A0F6E" w:rsidRDefault="005A0F6E" w:rsidP="005A0F6E">
            <w:pPr>
              <w:jc w:val="center"/>
              <w:rPr>
                <w:color w:val="000000" w:themeColor="text1"/>
                <w:lang w:val="en-IE"/>
              </w:rPr>
            </w:pPr>
            <w:r>
              <w:rPr>
                <w:color w:val="000000" w:themeColor="text1"/>
                <w:lang w:val="en-IE"/>
              </w:rPr>
              <w:t>01</w:t>
            </w:r>
          </w:p>
        </w:tc>
        <w:tc>
          <w:tcPr>
            <w:tcW w:w="1701" w:type="dxa"/>
          </w:tcPr>
          <w:p w:rsidR="005A0F6E" w:rsidRDefault="00DC170C" w:rsidP="005A0F6E">
            <w:pPr>
              <w:jc w:val="center"/>
              <w:rPr>
                <w:color w:val="000000" w:themeColor="text1"/>
                <w:lang w:val="en-IE"/>
              </w:rPr>
            </w:pPr>
            <w:r>
              <w:rPr>
                <w:color w:val="000000" w:themeColor="text1"/>
                <w:lang w:val="en-IE"/>
              </w:rPr>
              <w:t>26.01</w:t>
            </w:r>
            <w:r w:rsidR="005A0F6E">
              <w:rPr>
                <w:color w:val="000000" w:themeColor="text1"/>
                <w:lang w:val="en-IE"/>
              </w:rPr>
              <w:t>.201</w:t>
            </w:r>
            <w:r>
              <w:rPr>
                <w:color w:val="000000" w:themeColor="text1"/>
                <w:lang w:val="en-IE"/>
              </w:rPr>
              <w:t>6</w:t>
            </w:r>
          </w:p>
        </w:tc>
        <w:tc>
          <w:tcPr>
            <w:tcW w:w="1843" w:type="dxa"/>
          </w:tcPr>
          <w:p w:rsidR="005A0F6E" w:rsidRDefault="005A0F6E" w:rsidP="005A0F6E">
            <w:pPr>
              <w:jc w:val="center"/>
              <w:rPr>
                <w:color w:val="000000" w:themeColor="text1"/>
                <w:lang w:val="en-IE"/>
              </w:rPr>
            </w:pPr>
            <w:r>
              <w:rPr>
                <w:color w:val="000000" w:themeColor="text1"/>
                <w:lang w:val="en-IE"/>
              </w:rPr>
              <w:t>New Document</w:t>
            </w:r>
          </w:p>
        </w:tc>
        <w:tc>
          <w:tcPr>
            <w:tcW w:w="1603" w:type="dxa"/>
          </w:tcPr>
          <w:p w:rsidR="005A0F6E" w:rsidRDefault="005A0F6E" w:rsidP="005A0F6E">
            <w:pPr>
              <w:jc w:val="center"/>
              <w:rPr>
                <w:color w:val="000000" w:themeColor="text1"/>
                <w:lang w:val="en-IE"/>
              </w:rPr>
            </w:pPr>
            <w:r>
              <w:rPr>
                <w:color w:val="000000" w:themeColor="text1"/>
                <w:lang w:val="en-IE"/>
              </w:rPr>
              <w:t>Liam Brennan</w:t>
            </w:r>
          </w:p>
        </w:tc>
        <w:tc>
          <w:tcPr>
            <w:tcW w:w="1373" w:type="dxa"/>
          </w:tcPr>
          <w:p w:rsidR="005A0F6E" w:rsidRDefault="00DC170C" w:rsidP="005A0F6E">
            <w:pPr>
              <w:jc w:val="center"/>
              <w:rPr>
                <w:color w:val="000000" w:themeColor="text1"/>
                <w:lang w:val="en-IE"/>
              </w:rPr>
            </w:pPr>
            <w:r>
              <w:rPr>
                <w:color w:val="000000" w:themeColor="text1"/>
                <w:lang w:val="en-IE"/>
              </w:rPr>
              <w:t>25</w:t>
            </w:r>
            <w:r w:rsidR="005A0F6E">
              <w:rPr>
                <w:color w:val="000000" w:themeColor="text1"/>
                <w:lang w:val="en-IE"/>
              </w:rPr>
              <w:t>.11.201</w:t>
            </w:r>
            <w:r>
              <w:rPr>
                <w:color w:val="000000" w:themeColor="text1"/>
                <w:lang w:val="en-IE"/>
              </w:rPr>
              <w:t>8</w:t>
            </w:r>
          </w:p>
        </w:tc>
      </w:tr>
      <w:tr w:rsidR="005A0F6E" w:rsidTr="00CE21E0">
        <w:tc>
          <w:tcPr>
            <w:tcW w:w="1134" w:type="dxa"/>
          </w:tcPr>
          <w:p w:rsidR="005A0F6E" w:rsidRDefault="005A0F6E" w:rsidP="005A0F6E">
            <w:pPr>
              <w:jc w:val="center"/>
              <w:rPr>
                <w:color w:val="000000" w:themeColor="text1"/>
                <w:lang w:val="en-IE"/>
              </w:rPr>
            </w:pPr>
          </w:p>
        </w:tc>
        <w:tc>
          <w:tcPr>
            <w:tcW w:w="1701" w:type="dxa"/>
          </w:tcPr>
          <w:p w:rsidR="005A0F6E" w:rsidRDefault="005A0F6E" w:rsidP="005A0F6E">
            <w:pPr>
              <w:jc w:val="center"/>
              <w:rPr>
                <w:color w:val="000000" w:themeColor="text1"/>
                <w:lang w:val="en-IE"/>
              </w:rPr>
            </w:pPr>
          </w:p>
        </w:tc>
        <w:tc>
          <w:tcPr>
            <w:tcW w:w="1843" w:type="dxa"/>
          </w:tcPr>
          <w:p w:rsidR="005A0F6E" w:rsidRDefault="005A0F6E" w:rsidP="005A0F6E">
            <w:pPr>
              <w:jc w:val="center"/>
              <w:rPr>
                <w:color w:val="000000" w:themeColor="text1"/>
                <w:lang w:val="en-IE"/>
              </w:rPr>
            </w:pPr>
          </w:p>
        </w:tc>
        <w:tc>
          <w:tcPr>
            <w:tcW w:w="1603" w:type="dxa"/>
          </w:tcPr>
          <w:p w:rsidR="005A0F6E" w:rsidRDefault="005A0F6E" w:rsidP="005A0F6E">
            <w:pPr>
              <w:jc w:val="center"/>
              <w:rPr>
                <w:color w:val="000000" w:themeColor="text1"/>
                <w:lang w:val="en-IE"/>
              </w:rPr>
            </w:pPr>
          </w:p>
        </w:tc>
        <w:tc>
          <w:tcPr>
            <w:tcW w:w="1373" w:type="dxa"/>
          </w:tcPr>
          <w:p w:rsidR="005A0F6E" w:rsidRDefault="005A0F6E" w:rsidP="005A0F6E">
            <w:pPr>
              <w:jc w:val="center"/>
              <w:rPr>
                <w:color w:val="000000" w:themeColor="text1"/>
                <w:lang w:val="en-IE"/>
              </w:rPr>
            </w:pPr>
          </w:p>
        </w:tc>
      </w:tr>
      <w:tr w:rsidR="005A0F6E" w:rsidTr="00CE21E0">
        <w:tc>
          <w:tcPr>
            <w:tcW w:w="1134" w:type="dxa"/>
          </w:tcPr>
          <w:p w:rsidR="005A0F6E" w:rsidRDefault="005A0F6E" w:rsidP="005A0F6E">
            <w:pPr>
              <w:jc w:val="center"/>
              <w:rPr>
                <w:color w:val="000000" w:themeColor="text1"/>
                <w:lang w:val="en-IE"/>
              </w:rPr>
            </w:pPr>
          </w:p>
        </w:tc>
        <w:tc>
          <w:tcPr>
            <w:tcW w:w="1701" w:type="dxa"/>
          </w:tcPr>
          <w:p w:rsidR="005A0F6E" w:rsidRDefault="005A0F6E" w:rsidP="005A0F6E">
            <w:pPr>
              <w:jc w:val="center"/>
              <w:rPr>
                <w:color w:val="000000" w:themeColor="text1"/>
                <w:lang w:val="en-IE"/>
              </w:rPr>
            </w:pPr>
          </w:p>
        </w:tc>
        <w:tc>
          <w:tcPr>
            <w:tcW w:w="1843" w:type="dxa"/>
          </w:tcPr>
          <w:p w:rsidR="005A0F6E" w:rsidRDefault="005A0F6E" w:rsidP="005A0F6E">
            <w:pPr>
              <w:jc w:val="center"/>
              <w:rPr>
                <w:color w:val="000000" w:themeColor="text1"/>
                <w:lang w:val="en-IE"/>
              </w:rPr>
            </w:pPr>
          </w:p>
        </w:tc>
        <w:tc>
          <w:tcPr>
            <w:tcW w:w="1603" w:type="dxa"/>
          </w:tcPr>
          <w:p w:rsidR="005A0F6E" w:rsidRDefault="005A0F6E" w:rsidP="005A0F6E">
            <w:pPr>
              <w:jc w:val="center"/>
              <w:rPr>
                <w:color w:val="000000" w:themeColor="text1"/>
                <w:lang w:val="en-IE"/>
              </w:rPr>
            </w:pPr>
          </w:p>
        </w:tc>
        <w:tc>
          <w:tcPr>
            <w:tcW w:w="1373" w:type="dxa"/>
          </w:tcPr>
          <w:p w:rsidR="005A0F6E" w:rsidRDefault="005A0F6E" w:rsidP="005A0F6E">
            <w:pPr>
              <w:jc w:val="center"/>
              <w:rPr>
                <w:color w:val="000000" w:themeColor="text1"/>
                <w:lang w:val="en-IE"/>
              </w:rPr>
            </w:pPr>
          </w:p>
        </w:tc>
      </w:tr>
      <w:tr w:rsidR="005A0F6E" w:rsidTr="00CE21E0">
        <w:tc>
          <w:tcPr>
            <w:tcW w:w="1134" w:type="dxa"/>
          </w:tcPr>
          <w:p w:rsidR="005A0F6E" w:rsidRDefault="005A0F6E" w:rsidP="005A0F6E">
            <w:pPr>
              <w:jc w:val="center"/>
              <w:rPr>
                <w:color w:val="000000" w:themeColor="text1"/>
                <w:lang w:val="en-IE"/>
              </w:rPr>
            </w:pPr>
          </w:p>
        </w:tc>
        <w:tc>
          <w:tcPr>
            <w:tcW w:w="1701" w:type="dxa"/>
          </w:tcPr>
          <w:p w:rsidR="005A0F6E" w:rsidRDefault="005A0F6E" w:rsidP="005A0F6E">
            <w:pPr>
              <w:jc w:val="center"/>
              <w:rPr>
                <w:color w:val="000000" w:themeColor="text1"/>
                <w:lang w:val="en-IE"/>
              </w:rPr>
            </w:pPr>
          </w:p>
        </w:tc>
        <w:tc>
          <w:tcPr>
            <w:tcW w:w="1843" w:type="dxa"/>
          </w:tcPr>
          <w:p w:rsidR="005A0F6E" w:rsidRDefault="005A0F6E" w:rsidP="005A0F6E">
            <w:pPr>
              <w:jc w:val="center"/>
              <w:rPr>
                <w:color w:val="000000" w:themeColor="text1"/>
                <w:lang w:val="en-IE"/>
              </w:rPr>
            </w:pPr>
          </w:p>
        </w:tc>
        <w:tc>
          <w:tcPr>
            <w:tcW w:w="1603" w:type="dxa"/>
          </w:tcPr>
          <w:p w:rsidR="005A0F6E" w:rsidRDefault="005A0F6E" w:rsidP="005A0F6E">
            <w:pPr>
              <w:jc w:val="center"/>
              <w:rPr>
                <w:color w:val="000000" w:themeColor="text1"/>
                <w:lang w:val="en-IE"/>
              </w:rPr>
            </w:pPr>
          </w:p>
        </w:tc>
        <w:tc>
          <w:tcPr>
            <w:tcW w:w="1373" w:type="dxa"/>
          </w:tcPr>
          <w:p w:rsidR="005A0F6E" w:rsidRDefault="005A0F6E" w:rsidP="005A0F6E">
            <w:pPr>
              <w:jc w:val="center"/>
              <w:rPr>
                <w:color w:val="000000" w:themeColor="text1"/>
                <w:lang w:val="en-IE"/>
              </w:rPr>
            </w:pPr>
          </w:p>
        </w:tc>
      </w:tr>
      <w:tr w:rsidR="005A0F6E" w:rsidTr="00CE21E0">
        <w:tc>
          <w:tcPr>
            <w:tcW w:w="1134" w:type="dxa"/>
          </w:tcPr>
          <w:p w:rsidR="005A0F6E" w:rsidRDefault="005A0F6E" w:rsidP="005A0F6E">
            <w:pPr>
              <w:jc w:val="center"/>
              <w:rPr>
                <w:color w:val="000000" w:themeColor="text1"/>
                <w:lang w:val="en-IE"/>
              </w:rPr>
            </w:pPr>
          </w:p>
        </w:tc>
        <w:tc>
          <w:tcPr>
            <w:tcW w:w="1701" w:type="dxa"/>
          </w:tcPr>
          <w:p w:rsidR="005A0F6E" w:rsidRDefault="005A0F6E" w:rsidP="005A0F6E">
            <w:pPr>
              <w:jc w:val="center"/>
              <w:rPr>
                <w:color w:val="000000" w:themeColor="text1"/>
                <w:lang w:val="en-IE"/>
              </w:rPr>
            </w:pPr>
          </w:p>
        </w:tc>
        <w:tc>
          <w:tcPr>
            <w:tcW w:w="1843" w:type="dxa"/>
          </w:tcPr>
          <w:p w:rsidR="005A0F6E" w:rsidRDefault="005A0F6E" w:rsidP="005A0F6E">
            <w:pPr>
              <w:jc w:val="center"/>
              <w:rPr>
                <w:color w:val="000000" w:themeColor="text1"/>
                <w:lang w:val="en-IE"/>
              </w:rPr>
            </w:pPr>
          </w:p>
        </w:tc>
        <w:tc>
          <w:tcPr>
            <w:tcW w:w="1603" w:type="dxa"/>
          </w:tcPr>
          <w:p w:rsidR="005A0F6E" w:rsidRDefault="005A0F6E" w:rsidP="005A0F6E">
            <w:pPr>
              <w:jc w:val="center"/>
              <w:rPr>
                <w:color w:val="000000" w:themeColor="text1"/>
                <w:lang w:val="en-IE"/>
              </w:rPr>
            </w:pPr>
          </w:p>
        </w:tc>
        <w:tc>
          <w:tcPr>
            <w:tcW w:w="1373" w:type="dxa"/>
          </w:tcPr>
          <w:p w:rsidR="005A0F6E" w:rsidRDefault="005A0F6E" w:rsidP="005A0F6E">
            <w:pPr>
              <w:jc w:val="center"/>
              <w:rPr>
                <w:color w:val="000000" w:themeColor="text1"/>
                <w:lang w:val="en-IE"/>
              </w:rPr>
            </w:pPr>
          </w:p>
        </w:tc>
      </w:tr>
      <w:tr w:rsidR="005A0F6E" w:rsidTr="00CE21E0">
        <w:tc>
          <w:tcPr>
            <w:tcW w:w="1134" w:type="dxa"/>
          </w:tcPr>
          <w:p w:rsidR="005A0F6E" w:rsidRDefault="005A0F6E" w:rsidP="005A0F6E">
            <w:pPr>
              <w:jc w:val="center"/>
              <w:rPr>
                <w:color w:val="000000" w:themeColor="text1"/>
                <w:lang w:val="en-IE"/>
              </w:rPr>
            </w:pPr>
          </w:p>
        </w:tc>
        <w:tc>
          <w:tcPr>
            <w:tcW w:w="1701" w:type="dxa"/>
          </w:tcPr>
          <w:p w:rsidR="005A0F6E" w:rsidRDefault="005A0F6E" w:rsidP="005A0F6E">
            <w:pPr>
              <w:jc w:val="center"/>
              <w:rPr>
                <w:color w:val="000000" w:themeColor="text1"/>
                <w:lang w:val="en-IE"/>
              </w:rPr>
            </w:pPr>
          </w:p>
        </w:tc>
        <w:tc>
          <w:tcPr>
            <w:tcW w:w="1843" w:type="dxa"/>
          </w:tcPr>
          <w:p w:rsidR="005A0F6E" w:rsidRDefault="005A0F6E" w:rsidP="005A0F6E">
            <w:pPr>
              <w:jc w:val="center"/>
              <w:rPr>
                <w:color w:val="000000" w:themeColor="text1"/>
                <w:lang w:val="en-IE"/>
              </w:rPr>
            </w:pPr>
          </w:p>
        </w:tc>
        <w:tc>
          <w:tcPr>
            <w:tcW w:w="1603" w:type="dxa"/>
          </w:tcPr>
          <w:p w:rsidR="005A0F6E" w:rsidRDefault="005A0F6E" w:rsidP="005A0F6E">
            <w:pPr>
              <w:jc w:val="center"/>
              <w:rPr>
                <w:color w:val="000000" w:themeColor="text1"/>
                <w:lang w:val="en-IE"/>
              </w:rPr>
            </w:pPr>
          </w:p>
        </w:tc>
        <w:tc>
          <w:tcPr>
            <w:tcW w:w="1373" w:type="dxa"/>
          </w:tcPr>
          <w:p w:rsidR="005A0F6E" w:rsidRDefault="005A0F6E" w:rsidP="005A0F6E">
            <w:pPr>
              <w:jc w:val="center"/>
              <w:rPr>
                <w:color w:val="000000" w:themeColor="text1"/>
                <w:lang w:val="en-IE"/>
              </w:rPr>
            </w:pPr>
          </w:p>
        </w:tc>
      </w:tr>
    </w:tbl>
    <w:p w:rsidR="005A0F6E" w:rsidRPr="00E034C2" w:rsidRDefault="005A0F6E" w:rsidP="005A0F6E">
      <w:pPr>
        <w:ind w:left="720"/>
        <w:jc w:val="center"/>
        <w:rPr>
          <w:color w:val="000000" w:themeColor="text1"/>
          <w:lang w:val="en-IE"/>
        </w:rPr>
      </w:pPr>
    </w:p>
    <w:p w:rsidR="007D2396" w:rsidRDefault="007D2396">
      <w:pPr>
        <w:ind w:left="720"/>
        <w:jc w:val="both"/>
        <w:rPr>
          <w:lang w:val="en-IE"/>
        </w:rPr>
      </w:pPr>
    </w:p>
    <w:sectPr w:rsidR="007D2396">
      <w:footerReference w:type="default" r:id="rId9"/>
      <w:pgSz w:w="12240" w:h="15840"/>
      <w:pgMar w:top="1440" w:right="1797" w:bottom="1440" w:left="1797" w:header="720" w:footer="720" w:gutter="0"/>
      <w:paperSrc w:first="1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36E4" w:rsidRDefault="003536E4">
      <w:r>
        <w:separator/>
      </w:r>
    </w:p>
  </w:endnote>
  <w:endnote w:type="continuationSeparator" w:id="0">
    <w:p w:rsidR="003536E4" w:rsidRDefault="0035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521B" w:rsidRPr="00A33DB2" w:rsidRDefault="0067521B" w:rsidP="00A33DB2">
    <w:pPr>
      <w:pStyle w:val="Footer"/>
      <w:pBdr>
        <w:top w:val="single" w:sz="6" w:space="1" w:color="auto"/>
      </w:pBdr>
      <w:rPr>
        <w:rStyle w:val="PageNumber"/>
        <w:sz w:val="16"/>
        <w:szCs w:val="16"/>
      </w:rPr>
    </w:pPr>
    <w:r w:rsidRPr="00A33DB2">
      <w:rPr>
        <w:sz w:val="16"/>
        <w:szCs w:val="16"/>
      </w:rPr>
      <w:t xml:space="preserve">Athlone Institute of Technology </w:t>
    </w:r>
    <w:r w:rsidRPr="00A33DB2">
      <w:rPr>
        <w:sz w:val="16"/>
        <w:szCs w:val="16"/>
      </w:rPr>
      <w:tab/>
      <w:t xml:space="preserve">Page </w:t>
    </w:r>
    <w:r w:rsidRPr="00A33DB2">
      <w:rPr>
        <w:rStyle w:val="PageNumber"/>
        <w:sz w:val="16"/>
        <w:szCs w:val="16"/>
      </w:rPr>
      <w:fldChar w:fldCharType="begin"/>
    </w:r>
    <w:r w:rsidRPr="00A33DB2">
      <w:rPr>
        <w:rStyle w:val="PageNumber"/>
        <w:sz w:val="16"/>
        <w:szCs w:val="16"/>
      </w:rPr>
      <w:instrText xml:space="preserve"> PAGE </w:instrText>
    </w:r>
    <w:r w:rsidRPr="00A33DB2">
      <w:rPr>
        <w:rStyle w:val="PageNumber"/>
        <w:sz w:val="16"/>
        <w:szCs w:val="16"/>
      </w:rPr>
      <w:fldChar w:fldCharType="separate"/>
    </w:r>
    <w:r w:rsidR="00B42E98">
      <w:rPr>
        <w:rStyle w:val="PageNumber"/>
        <w:noProof/>
        <w:sz w:val="16"/>
        <w:szCs w:val="16"/>
      </w:rPr>
      <w:t>1</w:t>
    </w:r>
    <w:r w:rsidRPr="00A33DB2">
      <w:rPr>
        <w:rStyle w:val="PageNumber"/>
        <w:sz w:val="16"/>
        <w:szCs w:val="16"/>
      </w:rPr>
      <w:fldChar w:fldCharType="end"/>
    </w:r>
    <w:r w:rsidRPr="00A33DB2">
      <w:rPr>
        <w:rStyle w:val="PageNumber"/>
        <w:sz w:val="16"/>
        <w:szCs w:val="16"/>
      </w:rPr>
      <w:t xml:space="preserve"> of </w:t>
    </w:r>
    <w:r>
      <w:rPr>
        <w:rStyle w:val="PageNumber"/>
        <w:sz w:val="16"/>
        <w:szCs w:val="16"/>
      </w:rPr>
      <w:t>5</w:t>
    </w:r>
    <w:r w:rsidRPr="00A33DB2">
      <w:rPr>
        <w:rStyle w:val="PageNumber"/>
        <w:sz w:val="16"/>
        <w:szCs w:val="16"/>
      </w:rPr>
      <w:tab/>
    </w:r>
    <w:r w:rsidR="00960AF4">
      <w:rPr>
        <w:rStyle w:val="PageNumber"/>
        <w:sz w:val="16"/>
        <w:szCs w:val="16"/>
      </w:rPr>
      <w:t>2015</w:t>
    </w:r>
  </w:p>
  <w:p w:rsidR="0067521B" w:rsidRDefault="0067521B" w:rsidP="00A33DB2">
    <w:pPr>
      <w:pStyle w:val="Footer"/>
      <w:rPr>
        <w:sz w:val="16"/>
        <w:szCs w:val="16"/>
        <w:lang w:val="en-IE"/>
      </w:rPr>
    </w:pPr>
    <w:r>
      <w:rPr>
        <w:sz w:val="16"/>
        <w:szCs w:val="16"/>
        <w:lang w:val="en-IE"/>
      </w:rPr>
      <w:t xml:space="preserve">Professional Development </w:t>
    </w:r>
    <w:r w:rsidR="00960AF4">
      <w:rPr>
        <w:sz w:val="16"/>
        <w:szCs w:val="16"/>
        <w:lang w:val="en-IE"/>
      </w:rPr>
      <w:t>Policy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36E4" w:rsidRDefault="003536E4">
      <w:r>
        <w:separator/>
      </w:r>
    </w:p>
  </w:footnote>
  <w:footnote w:type="continuationSeparator" w:id="0">
    <w:p w:rsidR="003536E4" w:rsidRDefault="003536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2CA97DA"/>
    <w:lvl w:ilvl="0">
      <w:numFmt w:val="decimal"/>
      <w:lvlText w:val="*"/>
      <w:lvlJc w:val="left"/>
    </w:lvl>
  </w:abstractNum>
  <w:abstractNum w:abstractNumId="1" w15:restartNumberingAfterBreak="0">
    <w:nsid w:val="026875A6"/>
    <w:multiLevelType w:val="hybridMultilevel"/>
    <w:tmpl w:val="9F806C98"/>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8E3F3A"/>
    <w:multiLevelType w:val="hybridMultilevel"/>
    <w:tmpl w:val="723CC5E2"/>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33C3BF5"/>
    <w:multiLevelType w:val="hybridMultilevel"/>
    <w:tmpl w:val="DA9AC6AE"/>
    <w:lvl w:ilvl="0" w:tplc="7DEEA124">
      <w:start w:val="8"/>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5537894"/>
    <w:multiLevelType w:val="hybridMultilevel"/>
    <w:tmpl w:val="51C0A10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5B102C5"/>
    <w:multiLevelType w:val="hybridMultilevel"/>
    <w:tmpl w:val="8F064B44"/>
    <w:lvl w:ilvl="0" w:tplc="AD786AC6">
      <w:start w:val="2"/>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96171D6"/>
    <w:multiLevelType w:val="hybridMultilevel"/>
    <w:tmpl w:val="BE00A298"/>
    <w:lvl w:ilvl="0" w:tplc="8EEEAACC">
      <w:start w:val="4"/>
      <w:numFmt w:val="decimal"/>
      <w:lvlText w:val="%1."/>
      <w:lvlJc w:val="left"/>
      <w:pPr>
        <w:tabs>
          <w:tab w:val="num" w:pos="1080"/>
        </w:tabs>
        <w:ind w:left="1080" w:hanging="720"/>
      </w:pPr>
      <w:rPr>
        <w:rFonts w:hint="default"/>
        <w:b/>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EA17356"/>
    <w:multiLevelType w:val="hybridMultilevel"/>
    <w:tmpl w:val="046041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1B6ABA"/>
    <w:multiLevelType w:val="hybridMultilevel"/>
    <w:tmpl w:val="7772AFE8"/>
    <w:lvl w:ilvl="0" w:tplc="7DEEA124">
      <w:start w:val="5"/>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9C550B0"/>
    <w:multiLevelType w:val="hybridMultilevel"/>
    <w:tmpl w:val="79CAAAC0"/>
    <w:lvl w:ilvl="0" w:tplc="7DEEA124">
      <w:start w:val="5"/>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1A4D345A"/>
    <w:multiLevelType w:val="hybridMultilevel"/>
    <w:tmpl w:val="C6D46A4C"/>
    <w:lvl w:ilvl="0" w:tplc="AD786AC6">
      <w:start w:val="9"/>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C9361B5"/>
    <w:multiLevelType w:val="hybridMultilevel"/>
    <w:tmpl w:val="5A722984"/>
    <w:lvl w:ilvl="0" w:tplc="0409000F">
      <w:start w:val="1"/>
      <w:numFmt w:val="decimal"/>
      <w:lvlText w:val="%1."/>
      <w:lvlJc w:val="left"/>
      <w:pPr>
        <w:tabs>
          <w:tab w:val="num" w:pos="360"/>
        </w:tabs>
        <w:ind w:left="360" w:hanging="360"/>
      </w:pPr>
      <w:rPr>
        <w:rFonts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29E40E0"/>
    <w:multiLevelType w:val="hybridMultilevel"/>
    <w:tmpl w:val="19AC2E84"/>
    <w:lvl w:ilvl="0" w:tplc="BBAE820C">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3A64707"/>
    <w:multiLevelType w:val="hybridMultilevel"/>
    <w:tmpl w:val="368E6FF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4" w15:restartNumberingAfterBreak="0">
    <w:nsid w:val="26024B94"/>
    <w:multiLevelType w:val="hybridMultilevel"/>
    <w:tmpl w:val="79B6E032"/>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5" w15:restartNumberingAfterBreak="0">
    <w:nsid w:val="28CE1E1C"/>
    <w:multiLevelType w:val="hybridMultilevel"/>
    <w:tmpl w:val="8A14B6E0"/>
    <w:lvl w:ilvl="0" w:tplc="7DEEA124">
      <w:start w:val="5"/>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2BFA44BD"/>
    <w:multiLevelType w:val="singleLevel"/>
    <w:tmpl w:val="798C8504"/>
    <w:lvl w:ilvl="0">
      <w:start w:val="1"/>
      <w:numFmt w:val="decimal"/>
      <w:lvlText w:val="%1."/>
      <w:lvlJc w:val="left"/>
      <w:pPr>
        <w:tabs>
          <w:tab w:val="num" w:pos="720"/>
        </w:tabs>
        <w:ind w:left="720" w:hanging="720"/>
      </w:pPr>
      <w:rPr>
        <w:rFonts w:hint="default"/>
      </w:rPr>
    </w:lvl>
  </w:abstractNum>
  <w:abstractNum w:abstractNumId="17" w15:restartNumberingAfterBreak="0">
    <w:nsid w:val="2ECE59CB"/>
    <w:multiLevelType w:val="hybridMultilevel"/>
    <w:tmpl w:val="251E3CB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2ED13991"/>
    <w:multiLevelType w:val="hybridMultilevel"/>
    <w:tmpl w:val="3E5A5674"/>
    <w:lvl w:ilvl="0" w:tplc="04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2F231710"/>
    <w:multiLevelType w:val="hybridMultilevel"/>
    <w:tmpl w:val="709C7942"/>
    <w:lvl w:ilvl="0" w:tplc="7DEEA124">
      <w:start w:val="6"/>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6650302"/>
    <w:multiLevelType w:val="hybridMultilevel"/>
    <w:tmpl w:val="68D646F2"/>
    <w:lvl w:ilvl="0" w:tplc="7DEEA124">
      <w:start w:val="7"/>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3C721618"/>
    <w:multiLevelType w:val="hybridMultilevel"/>
    <w:tmpl w:val="687848D8"/>
    <w:lvl w:ilvl="0" w:tplc="7360BC74">
      <w:start w:val="3"/>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41DC590E"/>
    <w:multiLevelType w:val="hybridMultilevel"/>
    <w:tmpl w:val="6052BB20"/>
    <w:lvl w:ilvl="0" w:tplc="7DEEA124">
      <w:start w:val="5"/>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467B15C0"/>
    <w:multiLevelType w:val="hybridMultilevel"/>
    <w:tmpl w:val="3474B328"/>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4" w15:restartNumberingAfterBreak="0">
    <w:nsid w:val="4EC2387D"/>
    <w:multiLevelType w:val="hybridMultilevel"/>
    <w:tmpl w:val="972CECD0"/>
    <w:lvl w:ilvl="0" w:tplc="7DEEA124">
      <w:start w:val="5"/>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54922DFF"/>
    <w:multiLevelType w:val="hybridMultilevel"/>
    <w:tmpl w:val="56707468"/>
    <w:lvl w:ilvl="0" w:tplc="7DEEA124">
      <w:start w:val="10"/>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57634142"/>
    <w:multiLevelType w:val="hybridMultilevel"/>
    <w:tmpl w:val="96C810DC"/>
    <w:lvl w:ilvl="0" w:tplc="05DE54F4">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5A855B66"/>
    <w:multiLevelType w:val="hybridMultilevel"/>
    <w:tmpl w:val="6912749C"/>
    <w:lvl w:ilvl="0" w:tplc="FEB05D6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15:restartNumberingAfterBreak="0">
    <w:nsid w:val="5FA74FDE"/>
    <w:multiLevelType w:val="hybridMultilevel"/>
    <w:tmpl w:val="F6584E34"/>
    <w:lvl w:ilvl="0" w:tplc="8EEEAACC">
      <w:start w:val="4"/>
      <w:numFmt w:val="decimal"/>
      <w:lvlText w:val="%1."/>
      <w:lvlJc w:val="left"/>
      <w:pPr>
        <w:tabs>
          <w:tab w:val="num" w:pos="1080"/>
        </w:tabs>
        <w:ind w:left="1080" w:hanging="720"/>
      </w:pPr>
      <w:rPr>
        <w:rFonts w:hint="default"/>
        <w:b/>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4A43F11"/>
    <w:multiLevelType w:val="singleLevel"/>
    <w:tmpl w:val="798C8504"/>
    <w:lvl w:ilvl="0">
      <w:start w:val="1"/>
      <w:numFmt w:val="decimal"/>
      <w:lvlText w:val="%1."/>
      <w:lvlJc w:val="left"/>
      <w:pPr>
        <w:tabs>
          <w:tab w:val="num" w:pos="720"/>
        </w:tabs>
        <w:ind w:left="720" w:hanging="720"/>
      </w:pPr>
      <w:rPr>
        <w:rFonts w:hint="default"/>
      </w:rPr>
    </w:lvl>
  </w:abstractNum>
  <w:abstractNum w:abstractNumId="30" w15:restartNumberingAfterBreak="0">
    <w:nsid w:val="656470F3"/>
    <w:multiLevelType w:val="hybridMultilevel"/>
    <w:tmpl w:val="E7FC730A"/>
    <w:lvl w:ilvl="0" w:tplc="7360BC74">
      <w:start w:val="3"/>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35553E3"/>
    <w:multiLevelType w:val="hybridMultilevel"/>
    <w:tmpl w:val="316660F8"/>
    <w:lvl w:ilvl="0" w:tplc="1AA0B77A">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15:restartNumberingAfterBreak="0">
    <w:nsid w:val="73A8530D"/>
    <w:multiLevelType w:val="hybridMultilevel"/>
    <w:tmpl w:val="D8442FA8"/>
    <w:lvl w:ilvl="0" w:tplc="04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27"/>
  </w:num>
  <w:num w:numId="2">
    <w:abstractNumId w:val="31"/>
  </w:num>
  <w:num w:numId="3">
    <w:abstractNumId w:val="0"/>
    <w:lvlOverride w:ilvl="0">
      <w:lvl w:ilvl="0">
        <w:numFmt w:val="bullet"/>
        <w:lvlText w:val=""/>
        <w:legacy w:legacy="1" w:legacySpace="0" w:legacyIndent="0"/>
        <w:lvlJc w:val="left"/>
        <w:rPr>
          <w:rFonts w:ascii="Symbol" w:hAnsi="Symbol" w:hint="default"/>
        </w:rPr>
      </w:lvl>
    </w:lvlOverride>
  </w:num>
  <w:num w:numId="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5">
    <w:abstractNumId w:val="29"/>
  </w:num>
  <w:num w:numId="6">
    <w:abstractNumId w:val="16"/>
  </w:num>
  <w:num w:numId="7">
    <w:abstractNumId w:val="5"/>
  </w:num>
  <w:num w:numId="8">
    <w:abstractNumId w:val="2"/>
  </w:num>
  <w:num w:numId="9">
    <w:abstractNumId w:val="10"/>
  </w:num>
  <w:num w:numId="10">
    <w:abstractNumId w:val="32"/>
  </w:num>
  <w:num w:numId="11">
    <w:abstractNumId w:val="26"/>
  </w:num>
  <w:num w:numId="12">
    <w:abstractNumId w:val="1"/>
  </w:num>
  <w:num w:numId="13">
    <w:abstractNumId w:val="21"/>
  </w:num>
  <w:num w:numId="14">
    <w:abstractNumId w:val="30"/>
  </w:num>
  <w:num w:numId="15">
    <w:abstractNumId w:val="28"/>
  </w:num>
  <w:num w:numId="16">
    <w:abstractNumId w:val="6"/>
  </w:num>
  <w:num w:numId="17">
    <w:abstractNumId w:val="9"/>
  </w:num>
  <w:num w:numId="18">
    <w:abstractNumId w:val="15"/>
  </w:num>
  <w:num w:numId="19">
    <w:abstractNumId w:val="19"/>
  </w:num>
  <w:num w:numId="20">
    <w:abstractNumId w:val="18"/>
  </w:num>
  <w:num w:numId="21">
    <w:abstractNumId w:val="22"/>
  </w:num>
  <w:num w:numId="22">
    <w:abstractNumId w:val="20"/>
  </w:num>
  <w:num w:numId="23">
    <w:abstractNumId w:val="8"/>
  </w:num>
  <w:num w:numId="24">
    <w:abstractNumId w:val="3"/>
  </w:num>
  <w:num w:numId="25">
    <w:abstractNumId w:val="24"/>
  </w:num>
  <w:num w:numId="26">
    <w:abstractNumId w:val="25"/>
  </w:num>
  <w:num w:numId="27">
    <w:abstractNumId w:val="7"/>
  </w:num>
  <w:num w:numId="28">
    <w:abstractNumId w:val="4"/>
  </w:num>
  <w:num w:numId="29">
    <w:abstractNumId w:val="12"/>
  </w:num>
  <w:num w:numId="30">
    <w:abstractNumId w:val="11"/>
  </w:num>
  <w:num w:numId="31">
    <w:abstractNumId w:val="23"/>
  </w:num>
  <w:num w:numId="32">
    <w:abstractNumId w:val="14"/>
  </w:num>
  <w:num w:numId="33">
    <w:abstractNumId w:val="13"/>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301"/>
    <w:rsid w:val="00013A0F"/>
    <w:rsid w:val="00042A4F"/>
    <w:rsid w:val="00061C0D"/>
    <w:rsid w:val="000657C6"/>
    <w:rsid w:val="0007155F"/>
    <w:rsid w:val="000719A5"/>
    <w:rsid w:val="00077BCA"/>
    <w:rsid w:val="00087FC8"/>
    <w:rsid w:val="000C0C7C"/>
    <w:rsid w:val="000C3FE8"/>
    <w:rsid w:val="000C4AB1"/>
    <w:rsid w:val="00111DBE"/>
    <w:rsid w:val="001241D9"/>
    <w:rsid w:val="0012706E"/>
    <w:rsid w:val="00140C59"/>
    <w:rsid w:val="001522A2"/>
    <w:rsid w:val="001539F1"/>
    <w:rsid w:val="0015558E"/>
    <w:rsid w:val="00177FE5"/>
    <w:rsid w:val="001912F7"/>
    <w:rsid w:val="0019233C"/>
    <w:rsid w:val="001E2DC8"/>
    <w:rsid w:val="0020677A"/>
    <w:rsid w:val="00210468"/>
    <w:rsid w:val="002501F8"/>
    <w:rsid w:val="002515A3"/>
    <w:rsid w:val="002758BC"/>
    <w:rsid w:val="002950F3"/>
    <w:rsid w:val="002A70C8"/>
    <w:rsid w:val="002B6E8E"/>
    <w:rsid w:val="003536E4"/>
    <w:rsid w:val="00373F29"/>
    <w:rsid w:val="00392B5A"/>
    <w:rsid w:val="003C1AC7"/>
    <w:rsid w:val="003D0200"/>
    <w:rsid w:val="003D3903"/>
    <w:rsid w:val="003D62E3"/>
    <w:rsid w:val="003F4204"/>
    <w:rsid w:val="003F4A93"/>
    <w:rsid w:val="003F6AA9"/>
    <w:rsid w:val="004041A8"/>
    <w:rsid w:val="00436607"/>
    <w:rsid w:val="00456F2B"/>
    <w:rsid w:val="00481BD6"/>
    <w:rsid w:val="00485804"/>
    <w:rsid w:val="00486301"/>
    <w:rsid w:val="004975AE"/>
    <w:rsid w:val="004D4788"/>
    <w:rsid w:val="004E6B20"/>
    <w:rsid w:val="004F75FE"/>
    <w:rsid w:val="00500250"/>
    <w:rsid w:val="00503034"/>
    <w:rsid w:val="0052239F"/>
    <w:rsid w:val="00526685"/>
    <w:rsid w:val="00531CA4"/>
    <w:rsid w:val="00534EFD"/>
    <w:rsid w:val="005573DB"/>
    <w:rsid w:val="00560C4D"/>
    <w:rsid w:val="00566BD1"/>
    <w:rsid w:val="00576A29"/>
    <w:rsid w:val="00580D08"/>
    <w:rsid w:val="00584DEB"/>
    <w:rsid w:val="005A0F6E"/>
    <w:rsid w:val="005A6594"/>
    <w:rsid w:val="005D3B19"/>
    <w:rsid w:val="005D594C"/>
    <w:rsid w:val="00611815"/>
    <w:rsid w:val="0062643D"/>
    <w:rsid w:val="00630377"/>
    <w:rsid w:val="0063571D"/>
    <w:rsid w:val="00637F91"/>
    <w:rsid w:val="00640C1F"/>
    <w:rsid w:val="0065531A"/>
    <w:rsid w:val="0067521B"/>
    <w:rsid w:val="006D68EE"/>
    <w:rsid w:val="006E0102"/>
    <w:rsid w:val="0070613A"/>
    <w:rsid w:val="007070C1"/>
    <w:rsid w:val="00741220"/>
    <w:rsid w:val="00751711"/>
    <w:rsid w:val="00766AC0"/>
    <w:rsid w:val="007B101B"/>
    <w:rsid w:val="007C48C2"/>
    <w:rsid w:val="007D2396"/>
    <w:rsid w:val="007D3ED3"/>
    <w:rsid w:val="007E1F0F"/>
    <w:rsid w:val="007E74CA"/>
    <w:rsid w:val="0082677C"/>
    <w:rsid w:val="00856A0F"/>
    <w:rsid w:val="008B37E1"/>
    <w:rsid w:val="008B3AE6"/>
    <w:rsid w:val="008B6282"/>
    <w:rsid w:val="00922163"/>
    <w:rsid w:val="00960AF4"/>
    <w:rsid w:val="00964611"/>
    <w:rsid w:val="00991E5D"/>
    <w:rsid w:val="009A2886"/>
    <w:rsid w:val="009A30BF"/>
    <w:rsid w:val="009B4A53"/>
    <w:rsid w:val="009B4A7E"/>
    <w:rsid w:val="009B7582"/>
    <w:rsid w:val="009F414F"/>
    <w:rsid w:val="009F7EBE"/>
    <w:rsid w:val="00A17A31"/>
    <w:rsid w:val="00A306C2"/>
    <w:rsid w:val="00A33DB2"/>
    <w:rsid w:val="00A35601"/>
    <w:rsid w:val="00A35C5B"/>
    <w:rsid w:val="00A5186D"/>
    <w:rsid w:val="00A62083"/>
    <w:rsid w:val="00A63836"/>
    <w:rsid w:val="00A9579C"/>
    <w:rsid w:val="00AB3991"/>
    <w:rsid w:val="00AD3C81"/>
    <w:rsid w:val="00AF1D06"/>
    <w:rsid w:val="00B03409"/>
    <w:rsid w:val="00B059E2"/>
    <w:rsid w:val="00B1660B"/>
    <w:rsid w:val="00B42E98"/>
    <w:rsid w:val="00B63FF3"/>
    <w:rsid w:val="00B70FAA"/>
    <w:rsid w:val="00B97817"/>
    <w:rsid w:val="00BA6CEB"/>
    <w:rsid w:val="00BA77D7"/>
    <w:rsid w:val="00BD5D4D"/>
    <w:rsid w:val="00BE5474"/>
    <w:rsid w:val="00C11E53"/>
    <w:rsid w:val="00C13BE4"/>
    <w:rsid w:val="00C4011F"/>
    <w:rsid w:val="00C4241D"/>
    <w:rsid w:val="00C8303F"/>
    <w:rsid w:val="00C93DF3"/>
    <w:rsid w:val="00CE21E0"/>
    <w:rsid w:val="00CE2C7D"/>
    <w:rsid w:val="00CE3DAC"/>
    <w:rsid w:val="00D0217E"/>
    <w:rsid w:val="00D24AD7"/>
    <w:rsid w:val="00D33CB3"/>
    <w:rsid w:val="00D40818"/>
    <w:rsid w:val="00D434A9"/>
    <w:rsid w:val="00D4591E"/>
    <w:rsid w:val="00D52A69"/>
    <w:rsid w:val="00D84899"/>
    <w:rsid w:val="00DA7FCD"/>
    <w:rsid w:val="00DB59A0"/>
    <w:rsid w:val="00DC170C"/>
    <w:rsid w:val="00DE651F"/>
    <w:rsid w:val="00DE69D7"/>
    <w:rsid w:val="00DE6BEE"/>
    <w:rsid w:val="00DF059A"/>
    <w:rsid w:val="00DF1981"/>
    <w:rsid w:val="00DF19CA"/>
    <w:rsid w:val="00E034C2"/>
    <w:rsid w:val="00E03B5F"/>
    <w:rsid w:val="00E06A59"/>
    <w:rsid w:val="00E202BB"/>
    <w:rsid w:val="00E40179"/>
    <w:rsid w:val="00E6607E"/>
    <w:rsid w:val="00E7314C"/>
    <w:rsid w:val="00E96E30"/>
    <w:rsid w:val="00EC5634"/>
    <w:rsid w:val="00EE17C8"/>
    <w:rsid w:val="00EE55E5"/>
    <w:rsid w:val="00EF5CAD"/>
    <w:rsid w:val="00F07F67"/>
    <w:rsid w:val="00F17C9D"/>
    <w:rsid w:val="00F35248"/>
    <w:rsid w:val="00F64BC2"/>
    <w:rsid w:val="00F85CC1"/>
    <w:rsid w:val="00FB1007"/>
    <w:rsid w:val="00FB5A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DEC5DD1-C4C3-4B1B-80BF-9F98F842D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ind w:left="1080"/>
      <w:jc w:val="both"/>
      <w:outlineLvl w:val="0"/>
    </w:pPr>
    <w:rPr>
      <w:b/>
      <w:bCs/>
      <w:u w:val="single"/>
      <w:lang w:val="en-GB"/>
    </w:rPr>
  </w:style>
  <w:style w:type="paragraph" w:styleId="Heading2">
    <w:name w:val="heading 2"/>
    <w:basedOn w:val="Normal"/>
    <w:next w:val="Normal"/>
    <w:qFormat/>
    <w:pPr>
      <w:keepNext/>
      <w:ind w:left="1080"/>
      <w:jc w:val="both"/>
      <w:outlineLvl w:val="1"/>
    </w:pPr>
    <w:rPr>
      <w:b/>
      <w:bCs/>
      <w:lang w:val="en-GB"/>
    </w:rPr>
  </w:style>
  <w:style w:type="paragraph" w:styleId="Heading3">
    <w:name w:val="heading 3"/>
    <w:basedOn w:val="Normal"/>
    <w:next w:val="Normal"/>
    <w:qFormat/>
    <w:pPr>
      <w:keepNext/>
      <w:jc w:val="both"/>
      <w:outlineLvl w:val="2"/>
    </w:pPr>
    <w:rPr>
      <w:b/>
      <w:bCs/>
      <w:lang w:val="en-GB"/>
    </w:rPr>
  </w:style>
  <w:style w:type="paragraph" w:styleId="Heading4">
    <w:name w:val="heading 4"/>
    <w:basedOn w:val="Normal"/>
    <w:next w:val="Normal"/>
    <w:qFormat/>
    <w:pPr>
      <w:keepNext/>
      <w:ind w:left="720"/>
      <w:jc w:val="both"/>
      <w:outlineLvl w:val="3"/>
    </w:pPr>
    <w:rPr>
      <w:b/>
      <w:bCs/>
      <w:lang w:val="en-IE"/>
    </w:rPr>
  </w:style>
  <w:style w:type="paragraph" w:styleId="Heading5">
    <w:name w:val="heading 5"/>
    <w:basedOn w:val="Normal"/>
    <w:next w:val="Normal"/>
    <w:qFormat/>
    <w:pPr>
      <w:keepNext/>
      <w:ind w:left="720" w:hanging="720"/>
      <w:jc w:val="both"/>
      <w:outlineLvl w:val="4"/>
    </w:pPr>
    <w:rPr>
      <w:b/>
      <w:bCs/>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qFormat/>
    <w:pPr>
      <w:jc w:val="center"/>
    </w:pPr>
    <w:rPr>
      <w:b/>
      <w:bCs/>
      <w:sz w:val="28"/>
      <w:lang w:val="en-GB"/>
    </w:rPr>
  </w:style>
  <w:style w:type="paragraph" w:styleId="BodyText">
    <w:name w:val="Body Text"/>
    <w:basedOn w:val="Normal"/>
    <w:pPr>
      <w:jc w:val="both"/>
    </w:pPr>
    <w:rPr>
      <w:lang w:val="en-GB"/>
    </w:rPr>
  </w:style>
  <w:style w:type="paragraph" w:styleId="BodyTextIndent2">
    <w:name w:val="Body Text Indent 2"/>
    <w:basedOn w:val="Normal"/>
    <w:pPr>
      <w:ind w:left="720"/>
      <w:jc w:val="both"/>
    </w:pPr>
    <w:rPr>
      <w:lang w:val="en-IE"/>
    </w:rPr>
  </w:style>
  <w:style w:type="character" w:styleId="PageNumber">
    <w:name w:val="page number"/>
    <w:basedOn w:val="DefaultParagraphFont"/>
  </w:style>
  <w:style w:type="paragraph" w:styleId="BodyTextIndent">
    <w:name w:val="Body Text Indent"/>
    <w:basedOn w:val="Normal"/>
    <w:pPr>
      <w:spacing w:after="120"/>
      <w:ind w:left="283"/>
    </w:pPr>
  </w:style>
  <w:style w:type="paragraph" w:styleId="BodyTextIndent3">
    <w:name w:val="Body Text Indent 3"/>
    <w:basedOn w:val="Normal"/>
    <w:pPr>
      <w:ind w:left="1134" w:hanging="425"/>
      <w:jc w:val="both"/>
    </w:pPr>
    <w:rPr>
      <w:szCs w:val="20"/>
      <w:lang w:val="en-IE"/>
    </w:rPr>
  </w:style>
  <w:style w:type="table" w:styleId="TableGrid">
    <w:name w:val="Table Grid"/>
    <w:basedOn w:val="TableNormal"/>
    <w:rsid w:val="00A33D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DE651F"/>
    <w:rPr>
      <w:rFonts w:ascii="Tahoma" w:hAnsi="Tahoma" w:cs="Tahoma"/>
      <w:sz w:val="16"/>
      <w:szCs w:val="16"/>
    </w:rPr>
  </w:style>
  <w:style w:type="character" w:customStyle="1" w:styleId="BalloonTextChar">
    <w:name w:val="Balloon Text Char"/>
    <w:basedOn w:val="DefaultParagraphFont"/>
    <w:link w:val="BalloonText"/>
    <w:rsid w:val="00DE651F"/>
    <w:rPr>
      <w:rFonts w:ascii="Tahoma" w:hAnsi="Tahoma" w:cs="Tahoma"/>
      <w:sz w:val="16"/>
      <w:szCs w:val="16"/>
    </w:rPr>
  </w:style>
  <w:style w:type="paragraph" w:styleId="ListParagraph">
    <w:name w:val="List Paragraph"/>
    <w:basedOn w:val="Normal"/>
    <w:uiPriority w:val="34"/>
    <w:qFormat/>
    <w:rsid w:val="00DE6BEE"/>
    <w:pPr>
      <w:ind w:left="720"/>
      <w:contextualSpacing/>
    </w:pPr>
  </w:style>
  <w:style w:type="character" w:styleId="Hyperlink">
    <w:name w:val="Hyperlink"/>
    <w:basedOn w:val="DefaultParagraphFont"/>
    <w:unhideWhenUsed/>
    <w:rsid w:val="009F414F"/>
    <w:rPr>
      <w:color w:val="0000FF" w:themeColor="hyperlink"/>
      <w:u w:val="single"/>
    </w:rPr>
  </w:style>
  <w:style w:type="character" w:styleId="FollowedHyperlink">
    <w:name w:val="FollowedHyperlink"/>
    <w:basedOn w:val="DefaultParagraphFont"/>
    <w:semiHidden/>
    <w:unhideWhenUsed/>
    <w:rsid w:val="009F414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DC6EE5-C175-4088-83CD-178E5E830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1436</Words>
  <Characters>8189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Staff Development</vt:lpstr>
    </vt:vector>
  </TitlesOfParts>
  <Company>ait</Company>
  <LinksUpToDate>false</LinksUpToDate>
  <CharactersWithSpaces>9606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Staff Development</dc:title>
  <dc:creator>emellett</dc:creator>
  <cp:lastModifiedBy>Philip Temple</cp:lastModifiedBy>
  <cp:revision>2</cp:revision>
  <cp:lastPrinted>2015-11-10T11:12:00Z</cp:lastPrinted>
  <dcterms:created xsi:type="dcterms:W3CDTF">2017-01-16T16:50:00Z</dcterms:created>
  <dcterms:modified xsi:type="dcterms:W3CDTF">2017-01-16T16:50:00Z</dcterms:modified>
</cp:coreProperties>
</file>