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2FC1" w:rsidRPr="002D7B02" w:rsidRDefault="00EC0BF8" w:rsidP="00B003C6">
      <w:pPr>
        <w:spacing w:after="0" w:line="240" w:lineRule="auto"/>
        <w:jc w:val="center"/>
        <w:rPr>
          <w:b/>
          <w:sz w:val="24"/>
          <w:szCs w:val="24"/>
        </w:rPr>
      </w:pPr>
      <w:bookmarkStart w:id="0" w:name="_GoBack"/>
      <w:bookmarkEnd w:id="0"/>
      <w:r w:rsidRPr="002D7B02">
        <w:rPr>
          <w:b/>
          <w:sz w:val="24"/>
          <w:szCs w:val="24"/>
        </w:rPr>
        <w:t xml:space="preserve">LEARNING &amp; TEACHING UNIT </w:t>
      </w:r>
      <w:r w:rsidR="00031B88" w:rsidRPr="002D7B02">
        <w:rPr>
          <w:b/>
          <w:sz w:val="24"/>
          <w:szCs w:val="24"/>
        </w:rPr>
        <w:t xml:space="preserve">KEY </w:t>
      </w:r>
      <w:r w:rsidRPr="002D7B02">
        <w:rPr>
          <w:b/>
          <w:sz w:val="24"/>
          <w:szCs w:val="24"/>
        </w:rPr>
        <w:t>ACTIVITIES</w:t>
      </w:r>
      <w:r w:rsidR="00031B88" w:rsidRPr="002D7B02">
        <w:rPr>
          <w:b/>
          <w:sz w:val="24"/>
          <w:szCs w:val="24"/>
        </w:rPr>
        <w:t xml:space="preserve"> </w:t>
      </w:r>
      <w:r w:rsidR="0056520A" w:rsidRPr="002D7B02">
        <w:rPr>
          <w:b/>
          <w:sz w:val="24"/>
          <w:szCs w:val="24"/>
        </w:rPr>
        <w:t>2015 2016</w:t>
      </w:r>
    </w:p>
    <w:tbl>
      <w:tblPr>
        <w:tblStyle w:val="TableGrid"/>
        <w:tblW w:w="98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3"/>
      </w:tblGrid>
      <w:tr w:rsidR="00BE1D4C" w:rsidRPr="002D7B02" w:rsidTr="004D6159">
        <w:trPr>
          <w:trHeight w:val="228"/>
        </w:trPr>
        <w:tc>
          <w:tcPr>
            <w:tcW w:w="9883" w:type="dxa"/>
          </w:tcPr>
          <w:p w:rsidR="006E4887" w:rsidRPr="002D7B02" w:rsidRDefault="006E4887" w:rsidP="00EC0BF8">
            <w:pPr>
              <w:rPr>
                <w:sz w:val="24"/>
                <w:szCs w:val="24"/>
              </w:rPr>
            </w:pPr>
          </w:p>
        </w:tc>
      </w:tr>
      <w:tr w:rsidR="00BE1D4C" w:rsidRPr="002D7B02" w:rsidTr="004D6159">
        <w:trPr>
          <w:trHeight w:val="228"/>
        </w:trPr>
        <w:tc>
          <w:tcPr>
            <w:tcW w:w="9883" w:type="dxa"/>
          </w:tcPr>
          <w:p w:rsidR="006E4887" w:rsidRPr="002D7B02" w:rsidRDefault="006E4887" w:rsidP="006C6B16">
            <w:pPr>
              <w:rPr>
                <w:b/>
                <w:sz w:val="24"/>
                <w:szCs w:val="24"/>
                <w:u w:val="single"/>
              </w:rPr>
            </w:pPr>
            <w:r w:rsidRPr="002D7B02">
              <w:rPr>
                <w:b/>
                <w:sz w:val="24"/>
                <w:szCs w:val="24"/>
                <w:u w:val="single"/>
              </w:rPr>
              <w:t>Academic Year 201</w:t>
            </w:r>
            <w:r w:rsidR="006C6B16" w:rsidRPr="002D7B02">
              <w:rPr>
                <w:b/>
                <w:sz w:val="24"/>
                <w:szCs w:val="24"/>
                <w:u w:val="single"/>
              </w:rPr>
              <w:t>5</w:t>
            </w:r>
            <w:r w:rsidRPr="002D7B02">
              <w:rPr>
                <w:b/>
                <w:sz w:val="24"/>
                <w:szCs w:val="24"/>
                <w:u w:val="single"/>
              </w:rPr>
              <w:t>/201</w:t>
            </w:r>
            <w:r w:rsidR="006C6B16" w:rsidRPr="002D7B02">
              <w:rPr>
                <w:b/>
                <w:sz w:val="24"/>
                <w:szCs w:val="24"/>
                <w:u w:val="single"/>
              </w:rPr>
              <w:t>6</w:t>
            </w:r>
          </w:p>
          <w:p w:rsidR="00556F02" w:rsidRPr="002D7B02" w:rsidRDefault="00556F02" w:rsidP="006C6B16">
            <w:pPr>
              <w:rPr>
                <w:b/>
                <w:sz w:val="24"/>
                <w:szCs w:val="24"/>
                <w:u w:val="single"/>
              </w:rPr>
            </w:pPr>
          </w:p>
        </w:tc>
      </w:tr>
      <w:tr w:rsidR="00BE1D4C" w:rsidRPr="002D7B02" w:rsidTr="004D6159">
        <w:trPr>
          <w:trHeight w:val="228"/>
        </w:trPr>
        <w:tc>
          <w:tcPr>
            <w:tcW w:w="9883" w:type="dxa"/>
          </w:tcPr>
          <w:p w:rsidR="00333794" w:rsidRPr="002D7B02" w:rsidRDefault="00333794" w:rsidP="00556F02">
            <w:pPr>
              <w:rPr>
                <w:b/>
                <w:sz w:val="24"/>
                <w:szCs w:val="24"/>
              </w:rPr>
            </w:pPr>
            <w:r w:rsidRPr="002D7B02">
              <w:rPr>
                <w:b/>
                <w:sz w:val="24"/>
                <w:szCs w:val="24"/>
              </w:rPr>
              <w:t xml:space="preserve">Postgraduate Diploma in Learning, Teaching &amp; Assessment </w:t>
            </w:r>
          </w:p>
        </w:tc>
      </w:tr>
      <w:tr w:rsidR="00BE1D4C" w:rsidRPr="002D7B02" w:rsidTr="004D6159">
        <w:trPr>
          <w:trHeight w:val="228"/>
        </w:trPr>
        <w:tc>
          <w:tcPr>
            <w:tcW w:w="9883" w:type="dxa"/>
          </w:tcPr>
          <w:p w:rsidR="00333794" w:rsidRPr="002D7B02" w:rsidRDefault="00333794" w:rsidP="00556F02">
            <w:pPr>
              <w:rPr>
                <w:sz w:val="24"/>
                <w:szCs w:val="24"/>
              </w:rPr>
            </w:pPr>
            <w:r w:rsidRPr="002D7B02">
              <w:rPr>
                <w:sz w:val="24"/>
                <w:szCs w:val="24"/>
              </w:rPr>
              <w:t>Certificate in Learning &amp; Teaching</w:t>
            </w:r>
            <w:r w:rsidR="00556F02" w:rsidRPr="002D7B02">
              <w:rPr>
                <w:sz w:val="24"/>
                <w:szCs w:val="24"/>
              </w:rPr>
              <w:t xml:space="preserve"> (15 ECT)</w:t>
            </w:r>
          </w:p>
        </w:tc>
      </w:tr>
      <w:tr w:rsidR="00BE1D4C" w:rsidRPr="002D7B02" w:rsidTr="004D6159">
        <w:trPr>
          <w:trHeight w:val="216"/>
        </w:trPr>
        <w:tc>
          <w:tcPr>
            <w:tcW w:w="9883" w:type="dxa"/>
          </w:tcPr>
          <w:p w:rsidR="006C6B16" w:rsidRPr="002D7B02" w:rsidRDefault="006C6B16" w:rsidP="00556F02">
            <w:pPr>
              <w:rPr>
                <w:sz w:val="24"/>
                <w:szCs w:val="24"/>
              </w:rPr>
            </w:pPr>
            <w:r w:rsidRPr="002D7B02">
              <w:rPr>
                <w:sz w:val="24"/>
                <w:szCs w:val="24"/>
              </w:rPr>
              <w:t>Certificate in Action Research for Educators</w:t>
            </w:r>
            <w:r w:rsidR="00556F02" w:rsidRPr="002D7B02">
              <w:rPr>
                <w:sz w:val="24"/>
                <w:szCs w:val="24"/>
              </w:rPr>
              <w:t xml:space="preserve"> (15 ECT)</w:t>
            </w:r>
          </w:p>
        </w:tc>
      </w:tr>
      <w:tr w:rsidR="00BE1D4C" w:rsidRPr="002D7B02" w:rsidTr="004D6159">
        <w:trPr>
          <w:trHeight w:val="216"/>
        </w:trPr>
        <w:tc>
          <w:tcPr>
            <w:tcW w:w="9883" w:type="dxa"/>
          </w:tcPr>
          <w:p w:rsidR="00333794" w:rsidRPr="002D7B02" w:rsidRDefault="00333794" w:rsidP="00556F02">
            <w:pPr>
              <w:rPr>
                <w:sz w:val="24"/>
                <w:szCs w:val="24"/>
              </w:rPr>
            </w:pPr>
            <w:r w:rsidRPr="002D7B02">
              <w:rPr>
                <w:sz w:val="24"/>
                <w:szCs w:val="24"/>
              </w:rPr>
              <w:t>Certificate in Technology Enhanced Learning</w:t>
            </w:r>
            <w:r w:rsidR="00556F02" w:rsidRPr="002D7B02">
              <w:rPr>
                <w:sz w:val="24"/>
                <w:szCs w:val="24"/>
              </w:rPr>
              <w:t xml:space="preserve"> (15 ECT)</w:t>
            </w:r>
          </w:p>
        </w:tc>
      </w:tr>
      <w:tr w:rsidR="00BE1D4C" w:rsidRPr="002D7B02" w:rsidTr="004D6159">
        <w:trPr>
          <w:trHeight w:val="228"/>
        </w:trPr>
        <w:tc>
          <w:tcPr>
            <w:tcW w:w="9883" w:type="dxa"/>
          </w:tcPr>
          <w:p w:rsidR="00333794" w:rsidRPr="006202BA" w:rsidRDefault="00333794" w:rsidP="006C6B16">
            <w:pPr>
              <w:rPr>
                <w:sz w:val="24"/>
                <w:szCs w:val="24"/>
              </w:rPr>
            </w:pPr>
            <w:r w:rsidRPr="006202BA">
              <w:rPr>
                <w:sz w:val="24"/>
                <w:szCs w:val="24"/>
              </w:rPr>
              <w:t xml:space="preserve">Certificate in </w:t>
            </w:r>
            <w:r w:rsidR="006C6B16" w:rsidRPr="006202BA">
              <w:rPr>
                <w:sz w:val="24"/>
                <w:szCs w:val="24"/>
              </w:rPr>
              <w:t>Formative Assessment Feedback</w:t>
            </w:r>
            <w:r w:rsidR="00556F02" w:rsidRPr="006202BA">
              <w:rPr>
                <w:sz w:val="24"/>
                <w:szCs w:val="24"/>
              </w:rPr>
              <w:t xml:space="preserve"> (15 ECT)</w:t>
            </w:r>
          </w:p>
        </w:tc>
      </w:tr>
      <w:tr w:rsidR="00BE1D4C" w:rsidRPr="002D7B02" w:rsidTr="004D6159">
        <w:trPr>
          <w:trHeight w:val="228"/>
        </w:trPr>
        <w:tc>
          <w:tcPr>
            <w:tcW w:w="9883" w:type="dxa"/>
          </w:tcPr>
          <w:p w:rsidR="00333794" w:rsidRPr="006202BA" w:rsidRDefault="006C6B16" w:rsidP="006202BA">
            <w:pPr>
              <w:rPr>
                <w:sz w:val="24"/>
                <w:szCs w:val="24"/>
              </w:rPr>
            </w:pPr>
            <w:r w:rsidRPr="006202BA">
              <w:rPr>
                <w:sz w:val="24"/>
                <w:szCs w:val="24"/>
              </w:rPr>
              <w:t>Implementing a UDL Curriculum</w:t>
            </w:r>
            <w:r w:rsidR="00364CB8" w:rsidRPr="006202BA">
              <w:rPr>
                <w:sz w:val="24"/>
                <w:szCs w:val="24"/>
              </w:rPr>
              <w:t xml:space="preserve"> </w:t>
            </w:r>
            <w:r w:rsidR="006202BA" w:rsidRPr="006202BA">
              <w:rPr>
                <w:sz w:val="24"/>
                <w:szCs w:val="24"/>
              </w:rPr>
              <w:t xml:space="preserve">(5 ECT) </w:t>
            </w:r>
          </w:p>
        </w:tc>
      </w:tr>
      <w:tr w:rsidR="00BE1D4C" w:rsidRPr="002D7B02" w:rsidTr="004D6159">
        <w:trPr>
          <w:trHeight w:val="228"/>
        </w:trPr>
        <w:tc>
          <w:tcPr>
            <w:tcW w:w="9883" w:type="dxa"/>
          </w:tcPr>
          <w:p w:rsidR="00333794" w:rsidRPr="002D7B02" w:rsidRDefault="0006244F" w:rsidP="00556F02">
            <w:pPr>
              <w:rPr>
                <w:sz w:val="24"/>
                <w:szCs w:val="24"/>
              </w:rPr>
            </w:pPr>
            <w:r w:rsidRPr="002D7B02">
              <w:rPr>
                <w:sz w:val="24"/>
                <w:szCs w:val="24"/>
              </w:rPr>
              <w:t>Capstone Module: Reflection, Action &amp; Evidence Review</w:t>
            </w:r>
            <w:r w:rsidR="00556F02" w:rsidRPr="002D7B02">
              <w:rPr>
                <w:sz w:val="24"/>
                <w:szCs w:val="24"/>
              </w:rPr>
              <w:t xml:space="preserve"> (5 ECT)</w:t>
            </w:r>
          </w:p>
        </w:tc>
      </w:tr>
      <w:tr w:rsidR="00BE1D4C" w:rsidRPr="002D7B02" w:rsidTr="000E1497">
        <w:trPr>
          <w:trHeight w:val="1135"/>
        </w:trPr>
        <w:tc>
          <w:tcPr>
            <w:tcW w:w="9883" w:type="dxa"/>
          </w:tcPr>
          <w:p w:rsidR="00C22F88" w:rsidRPr="002D7B02" w:rsidRDefault="00C22F88" w:rsidP="00EC0BF8">
            <w:pPr>
              <w:rPr>
                <w:b/>
                <w:sz w:val="24"/>
                <w:szCs w:val="24"/>
              </w:rPr>
            </w:pPr>
          </w:p>
          <w:p w:rsidR="00EC0BF8" w:rsidRPr="002D7B02" w:rsidRDefault="0006244F" w:rsidP="00EC0BF8">
            <w:pPr>
              <w:rPr>
                <w:b/>
                <w:sz w:val="24"/>
                <w:szCs w:val="24"/>
              </w:rPr>
            </w:pPr>
            <w:r w:rsidRPr="002D7B02">
              <w:rPr>
                <w:b/>
                <w:sz w:val="24"/>
                <w:szCs w:val="24"/>
              </w:rPr>
              <w:t xml:space="preserve">Other </w:t>
            </w:r>
            <w:r w:rsidR="007F435F" w:rsidRPr="002D7B02">
              <w:rPr>
                <w:b/>
                <w:sz w:val="24"/>
                <w:szCs w:val="24"/>
              </w:rPr>
              <w:t xml:space="preserve">key </w:t>
            </w:r>
            <w:r w:rsidR="00F71EA9" w:rsidRPr="002D7B02">
              <w:rPr>
                <w:b/>
                <w:sz w:val="24"/>
                <w:szCs w:val="24"/>
              </w:rPr>
              <w:t xml:space="preserve">development </w:t>
            </w:r>
            <w:r w:rsidRPr="002D7B02">
              <w:rPr>
                <w:b/>
                <w:sz w:val="24"/>
                <w:szCs w:val="24"/>
              </w:rPr>
              <w:t>events</w:t>
            </w:r>
            <w:r w:rsidR="00031B88" w:rsidRPr="002D7B02">
              <w:rPr>
                <w:b/>
                <w:sz w:val="24"/>
                <w:szCs w:val="24"/>
              </w:rPr>
              <w:t xml:space="preserve"> 201</w:t>
            </w:r>
            <w:r w:rsidR="009B7D09" w:rsidRPr="002D7B02">
              <w:rPr>
                <w:b/>
                <w:sz w:val="24"/>
                <w:szCs w:val="24"/>
              </w:rPr>
              <w:t>5</w:t>
            </w:r>
            <w:r w:rsidR="00031B88" w:rsidRPr="002D7B02">
              <w:rPr>
                <w:b/>
                <w:sz w:val="24"/>
                <w:szCs w:val="24"/>
              </w:rPr>
              <w:t>-201</w:t>
            </w:r>
            <w:r w:rsidR="009B7D09" w:rsidRPr="002D7B02">
              <w:rPr>
                <w:b/>
                <w:sz w:val="24"/>
                <w:szCs w:val="24"/>
              </w:rPr>
              <w:t>6</w:t>
            </w:r>
            <w:r w:rsidRPr="002D7B02">
              <w:rPr>
                <w:b/>
                <w:sz w:val="24"/>
                <w:szCs w:val="24"/>
              </w:rPr>
              <w:t>:</w:t>
            </w:r>
          </w:p>
          <w:tbl>
            <w:tblPr>
              <w:tblStyle w:val="TableGrid"/>
              <w:tblW w:w="9667" w:type="dxa"/>
              <w:tblLook w:val="04A0" w:firstRow="1" w:lastRow="0" w:firstColumn="1" w:lastColumn="0" w:noHBand="0" w:noVBand="1"/>
            </w:tblPr>
            <w:tblGrid>
              <w:gridCol w:w="9667"/>
            </w:tblGrid>
            <w:tr w:rsidR="00556F02" w:rsidRPr="002D7B02" w:rsidTr="007F435F">
              <w:trPr>
                <w:trHeight w:val="474"/>
              </w:trPr>
              <w:tc>
                <w:tcPr>
                  <w:tcW w:w="9667" w:type="dxa"/>
                  <w:tcBorders>
                    <w:top w:val="nil"/>
                    <w:left w:val="nil"/>
                    <w:bottom w:val="nil"/>
                    <w:right w:val="nil"/>
                  </w:tcBorders>
                </w:tcPr>
                <w:p w:rsidR="00463E44" w:rsidRPr="002D7B02" w:rsidRDefault="00556F02" w:rsidP="0067046E">
                  <w:pPr>
                    <w:rPr>
                      <w:sz w:val="24"/>
                      <w:szCs w:val="24"/>
                    </w:rPr>
                  </w:pPr>
                  <w:r w:rsidRPr="002D7B02">
                    <w:rPr>
                      <w:sz w:val="24"/>
                      <w:szCs w:val="24"/>
                    </w:rPr>
                    <w:t xml:space="preserve">The Learning and Teaching was awarded funding by the National Forum for the Enhancement of Teaching and Learning for the What works and Why? </w:t>
                  </w:r>
                  <w:r w:rsidR="00463E44" w:rsidRPr="002D7B02">
                    <w:rPr>
                      <w:sz w:val="24"/>
                      <w:szCs w:val="24"/>
                    </w:rPr>
                    <w:t>P</w:t>
                  </w:r>
                  <w:r w:rsidRPr="002D7B02">
                    <w:rPr>
                      <w:sz w:val="24"/>
                      <w:szCs w:val="24"/>
                    </w:rPr>
                    <w:t>roject</w:t>
                  </w:r>
                  <w:r w:rsidR="00463E44" w:rsidRPr="002D7B02">
                    <w:rPr>
                      <w:sz w:val="24"/>
                      <w:szCs w:val="24"/>
                    </w:rPr>
                    <w:t xml:space="preserve">: </w:t>
                  </w:r>
                  <w:hyperlink r:id="rId5" w:history="1">
                    <w:r w:rsidR="00463E44" w:rsidRPr="002D7B02">
                      <w:rPr>
                        <w:rStyle w:val="Hyperlink"/>
                        <w:sz w:val="24"/>
                        <w:szCs w:val="24"/>
                      </w:rPr>
                      <w:t>http://www.teachingandlearning.ie/digital-enhancement-funding/showcasing-and-developing-digital-capacity-tel-week-projects-febmarch-2016/technology-enhanced-learning-what-works-and-why-2/</w:t>
                    </w:r>
                  </w:hyperlink>
                </w:p>
                <w:p w:rsidR="00556F02" w:rsidRPr="002D7B02" w:rsidRDefault="00556F02" w:rsidP="0067046E">
                  <w:pPr>
                    <w:rPr>
                      <w:sz w:val="24"/>
                      <w:szCs w:val="24"/>
                    </w:rPr>
                  </w:pPr>
                </w:p>
                <w:p w:rsidR="00556F02" w:rsidRDefault="00815492" w:rsidP="0067046E">
                  <w:pPr>
                    <w:rPr>
                      <w:sz w:val="24"/>
                      <w:szCs w:val="24"/>
                    </w:rPr>
                  </w:pPr>
                  <w:r w:rsidRPr="002D7B02">
                    <w:rPr>
                      <w:sz w:val="24"/>
                      <w:szCs w:val="24"/>
                    </w:rPr>
                    <w:t>Fro</w:t>
                  </w:r>
                  <w:r w:rsidR="00463E44" w:rsidRPr="002D7B02">
                    <w:rPr>
                      <w:sz w:val="24"/>
                      <w:szCs w:val="24"/>
                    </w:rPr>
                    <w:t xml:space="preserve">m </w:t>
                  </w:r>
                  <w:r w:rsidR="00B003C6">
                    <w:rPr>
                      <w:sz w:val="24"/>
                      <w:szCs w:val="24"/>
                    </w:rPr>
                    <w:t>7th</w:t>
                  </w:r>
                  <w:r w:rsidR="00E63767">
                    <w:rPr>
                      <w:sz w:val="24"/>
                      <w:szCs w:val="24"/>
                    </w:rPr>
                    <w:t xml:space="preserve"> to 11</w:t>
                  </w:r>
                  <w:r w:rsidR="00B003C6">
                    <w:rPr>
                      <w:sz w:val="24"/>
                      <w:szCs w:val="24"/>
                    </w:rPr>
                    <w:t>th</w:t>
                  </w:r>
                  <w:r w:rsidR="00E63767">
                    <w:rPr>
                      <w:sz w:val="24"/>
                      <w:szCs w:val="24"/>
                    </w:rPr>
                    <w:t xml:space="preserve"> March 2016</w:t>
                  </w:r>
                  <w:r w:rsidR="001F5C10">
                    <w:rPr>
                      <w:sz w:val="24"/>
                      <w:szCs w:val="24"/>
                    </w:rPr>
                    <w:t>,</w:t>
                  </w:r>
                  <w:r w:rsidR="00556F02" w:rsidRPr="002D7B02">
                    <w:rPr>
                      <w:sz w:val="24"/>
                      <w:szCs w:val="24"/>
                    </w:rPr>
                    <w:t xml:space="preserve"> </w:t>
                  </w:r>
                  <w:r w:rsidR="001F5C10">
                    <w:rPr>
                      <w:sz w:val="24"/>
                      <w:szCs w:val="24"/>
                    </w:rPr>
                    <w:t xml:space="preserve">the </w:t>
                  </w:r>
                  <w:r w:rsidR="00556F02" w:rsidRPr="002D7B02">
                    <w:rPr>
                      <w:sz w:val="24"/>
                      <w:szCs w:val="24"/>
                    </w:rPr>
                    <w:t xml:space="preserve">AIT </w:t>
                  </w:r>
                  <w:r w:rsidR="001F5C10">
                    <w:rPr>
                      <w:sz w:val="24"/>
                      <w:szCs w:val="24"/>
                    </w:rPr>
                    <w:t xml:space="preserve">L&amp;T Unit </w:t>
                  </w:r>
                  <w:r w:rsidR="00556F02" w:rsidRPr="002D7B02">
                    <w:rPr>
                      <w:sz w:val="24"/>
                      <w:szCs w:val="24"/>
                    </w:rPr>
                    <w:t>held a number of Technology Enhanced Learning Events to coincide with the National Digital Capacity Week across the HE sector.</w:t>
                  </w:r>
                </w:p>
                <w:p w:rsidR="00E63767" w:rsidRPr="00E63767" w:rsidRDefault="00E63767" w:rsidP="0067046E">
                  <w:pPr>
                    <w:pStyle w:val="ListParagraph"/>
                    <w:numPr>
                      <w:ilvl w:val="0"/>
                      <w:numId w:val="9"/>
                    </w:numPr>
                    <w:rPr>
                      <w:sz w:val="24"/>
                      <w:szCs w:val="24"/>
                    </w:rPr>
                  </w:pPr>
                  <w:r w:rsidRPr="00E63767">
                    <w:rPr>
                      <w:sz w:val="24"/>
                      <w:szCs w:val="24"/>
                    </w:rPr>
                    <w:t xml:space="preserve">Enhancing Feedback using Rubrics in </w:t>
                  </w:r>
                  <w:r>
                    <w:rPr>
                      <w:sz w:val="24"/>
                      <w:szCs w:val="24"/>
                    </w:rPr>
                    <w:t xml:space="preserve">Turnitin and </w:t>
                  </w:r>
                  <w:r w:rsidRPr="00E63767">
                    <w:rPr>
                      <w:sz w:val="24"/>
                      <w:szCs w:val="24"/>
                    </w:rPr>
                    <w:t xml:space="preserve">Moodle </w:t>
                  </w:r>
                  <w:r w:rsidR="006202BA">
                    <w:rPr>
                      <w:sz w:val="24"/>
                      <w:szCs w:val="24"/>
                    </w:rPr>
                    <w:t>(Geraldine McDermott/Nuala  Harding)</w:t>
                  </w:r>
                </w:p>
                <w:p w:rsidR="00556F02" w:rsidRPr="002D7B02" w:rsidRDefault="00556F02" w:rsidP="0067046E">
                  <w:pPr>
                    <w:pStyle w:val="ListParagraph"/>
                    <w:numPr>
                      <w:ilvl w:val="0"/>
                      <w:numId w:val="8"/>
                    </w:numPr>
                    <w:rPr>
                      <w:rFonts w:eastAsia="Times New Roman" w:cs="Times New Roman"/>
                      <w:bCs/>
                      <w:sz w:val="24"/>
                      <w:szCs w:val="24"/>
                      <w:lang w:eastAsia="en-IE"/>
                    </w:rPr>
                  </w:pPr>
                  <w:r w:rsidRPr="002D7B02">
                    <w:rPr>
                      <w:rFonts w:eastAsia="Times New Roman" w:cs="Times New Roman"/>
                      <w:bCs/>
                      <w:sz w:val="24"/>
                      <w:szCs w:val="24"/>
                      <w:lang w:eastAsia="en-IE"/>
                    </w:rPr>
                    <w:t>Moodle Step Up 1 - using glossary and databases</w:t>
                  </w:r>
                  <w:r w:rsidR="006202BA">
                    <w:rPr>
                      <w:rFonts w:eastAsia="Times New Roman" w:cs="Times New Roman"/>
                      <w:bCs/>
                      <w:sz w:val="24"/>
                      <w:szCs w:val="24"/>
                      <w:lang w:eastAsia="en-IE"/>
                    </w:rPr>
                    <w:t xml:space="preserve"> (Geraldine McDermott)</w:t>
                  </w:r>
                </w:p>
                <w:p w:rsidR="00556F02" w:rsidRPr="002D7B02" w:rsidRDefault="00556F02" w:rsidP="0067046E">
                  <w:pPr>
                    <w:pStyle w:val="ListParagraph"/>
                    <w:numPr>
                      <w:ilvl w:val="0"/>
                      <w:numId w:val="8"/>
                    </w:numPr>
                    <w:rPr>
                      <w:rFonts w:eastAsia="Times New Roman" w:cs="Times New Roman"/>
                      <w:bCs/>
                      <w:sz w:val="24"/>
                      <w:szCs w:val="24"/>
                      <w:lang w:eastAsia="en-IE"/>
                    </w:rPr>
                  </w:pPr>
                  <w:r w:rsidRPr="002D7B02">
                    <w:rPr>
                      <w:rFonts w:eastAsia="Times New Roman" w:cs="Times New Roman"/>
                      <w:bCs/>
                      <w:sz w:val="24"/>
                      <w:szCs w:val="24"/>
                      <w:lang w:eastAsia="en-IE"/>
                    </w:rPr>
                    <w:t>Technology Enhanced Feedback Approaches</w:t>
                  </w:r>
                  <w:r w:rsidR="00784342">
                    <w:rPr>
                      <w:rFonts w:eastAsia="Times New Roman" w:cs="Times New Roman"/>
                      <w:bCs/>
                      <w:sz w:val="24"/>
                      <w:szCs w:val="24"/>
                      <w:lang w:eastAsia="en-IE"/>
                    </w:rPr>
                    <w:t xml:space="preserve"> (Lisa O’Regan &amp; </w:t>
                  </w:r>
                  <w:r w:rsidR="006202BA">
                    <w:rPr>
                      <w:rFonts w:eastAsia="Times New Roman" w:cs="Times New Roman"/>
                      <w:bCs/>
                      <w:sz w:val="24"/>
                      <w:szCs w:val="24"/>
                      <w:lang w:eastAsia="en-IE"/>
                    </w:rPr>
                    <w:t>M</w:t>
                  </w:r>
                  <w:r w:rsidR="00791785">
                    <w:rPr>
                      <w:rFonts w:eastAsia="Times New Roman" w:cs="Times New Roman"/>
                      <w:bCs/>
                      <w:sz w:val="24"/>
                      <w:szCs w:val="24"/>
                      <w:lang w:eastAsia="en-IE"/>
                    </w:rPr>
                    <w:t>orag Monroe, Maynooth University</w:t>
                  </w:r>
                  <w:r w:rsidR="006202BA">
                    <w:rPr>
                      <w:rFonts w:eastAsia="Times New Roman" w:cs="Times New Roman"/>
                      <w:bCs/>
                      <w:sz w:val="24"/>
                      <w:szCs w:val="24"/>
                      <w:lang w:eastAsia="en-IE"/>
                    </w:rPr>
                    <w:t>)</w:t>
                  </w:r>
                </w:p>
                <w:p w:rsidR="00556F02" w:rsidRPr="002D7B02" w:rsidRDefault="00556F02" w:rsidP="0067046E">
                  <w:pPr>
                    <w:pStyle w:val="ListParagraph"/>
                    <w:numPr>
                      <w:ilvl w:val="0"/>
                      <w:numId w:val="8"/>
                    </w:numPr>
                    <w:rPr>
                      <w:rFonts w:eastAsia="Times New Roman" w:cs="Times New Roman"/>
                      <w:bCs/>
                      <w:sz w:val="24"/>
                      <w:szCs w:val="24"/>
                      <w:lang w:eastAsia="en-IE"/>
                    </w:rPr>
                  </w:pPr>
                  <w:r w:rsidRPr="002D7B02">
                    <w:rPr>
                      <w:rFonts w:eastAsia="Times New Roman" w:cs="Times New Roman"/>
                      <w:bCs/>
                      <w:sz w:val="24"/>
                      <w:szCs w:val="24"/>
                      <w:lang w:eastAsia="en-IE"/>
                    </w:rPr>
                    <w:t>Google Apps: using Google Apps for student collaboration and co-operative learning</w:t>
                  </w:r>
                  <w:r w:rsidR="00784342">
                    <w:rPr>
                      <w:rFonts w:eastAsia="Times New Roman" w:cs="Times New Roman"/>
                      <w:bCs/>
                      <w:sz w:val="24"/>
                      <w:szCs w:val="24"/>
                      <w:lang w:eastAsia="en-IE"/>
                    </w:rPr>
                    <w:t xml:space="preserve"> (Luke Fannon &amp; </w:t>
                  </w:r>
                  <w:r w:rsidR="006202BA">
                    <w:rPr>
                      <w:rFonts w:eastAsia="Times New Roman" w:cs="Times New Roman"/>
                      <w:bCs/>
                      <w:sz w:val="24"/>
                      <w:szCs w:val="24"/>
                      <w:lang w:eastAsia="en-IE"/>
                    </w:rPr>
                    <w:t>Geraldine McDermott)</w:t>
                  </w:r>
                </w:p>
                <w:p w:rsidR="00556F02" w:rsidRPr="002D7B02" w:rsidRDefault="00556F02" w:rsidP="0067046E">
                  <w:pPr>
                    <w:pStyle w:val="ListParagraph"/>
                    <w:numPr>
                      <w:ilvl w:val="0"/>
                      <w:numId w:val="8"/>
                    </w:numPr>
                    <w:rPr>
                      <w:rFonts w:eastAsia="Times New Roman" w:cs="Times New Roman"/>
                      <w:bCs/>
                      <w:sz w:val="24"/>
                      <w:szCs w:val="24"/>
                      <w:lang w:eastAsia="en-IE"/>
                    </w:rPr>
                  </w:pPr>
                  <w:r w:rsidRPr="002D7B02">
                    <w:rPr>
                      <w:rFonts w:eastAsia="Times New Roman" w:cs="Times New Roman"/>
                      <w:bCs/>
                      <w:sz w:val="24"/>
                      <w:szCs w:val="24"/>
                      <w:lang w:eastAsia="en-IE"/>
                    </w:rPr>
                    <w:t>Moodle Step Up 2 - using Moodle Quizzes as an assessment tool:  gapfill, MCQs and calculated questions</w:t>
                  </w:r>
                  <w:r w:rsidR="006202BA">
                    <w:rPr>
                      <w:rFonts w:eastAsia="Times New Roman" w:cs="Times New Roman"/>
                      <w:bCs/>
                      <w:sz w:val="24"/>
                      <w:szCs w:val="24"/>
                      <w:lang w:eastAsia="en-IE"/>
                    </w:rPr>
                    <w:t xml:space="preserve"> (Geraldine McDerm</w:t>
                  </w:r>
                  <w:r w:rsidR="00784342">
                    <w:rPr>
                      <w:rFonts w:eastAsia="Times New Roman" w:cs="Times New Roman"/>
                      <w:bCs/>
                      <w:sz w:val="24"/>
                      <w:szCs w:val="24"/>
                      <w:lang w:eastAsia="en-IE"/>
                    </w:rPr>
                    <w:t xml:space="preserve">ott &amp; </w:t>
                  </w:r>
                  <w:r w:rsidR="006202BA">
                    <w:rPr>
                      <w:rFonts w:eastAsia="Times New Roman" w:cs="Times New Roman"/>
                      <w:bCs/>
                      <w:sz w:val="24"/>
                      <w:szCs w:val="24"/>
                      <w:lang w:eastAsia="en-IE"/>
                    </w:rPr>
                    <w:t>Noel Tierney)</w:t>
                  </w:r>
                </w:p>
                <w:p w:rsidR="00556F02" w:rsidRPr="002D7B02" w:rsidRDefault="00556F02" w:rsidP="0067046E">
                  <w:pPr>
                    <w:pStyle w:val="ListParagraph"/>
                    <w:numPr>
                      <w:ilvl w:val="0"/>
                      <w:numId w:val="8"/>
                    </w:numPr>
                    <w:rPr>
                      <w:rFonts w:eastAsia="Times New Roman" w:cs="Times New Roman"/>
                      <w:bCs/>
                      <w:sz w:val="24"/>
                      <w:szCs w:val="24"/>
                      <w:lang w:eastAsia="en-IE"/>
                    </w:rPr>
                  </w:pPr>
                  <w:r w:rsidRPr="002D7B02">
                    <w:rPr>
                      <w:rFonts w:eastAsia="Times New Roman" w:cs="Times New Roman"/>
                      <w:bCs/>
                      <w:sz w:val="24"/>
                      <w:szCs w:val="24"/>
                      <w:lang w:eastAsia="en-IE"/>
                    </w:rPr>
                    <w:t>Universal Design for Learning (UDL) - using advanced PowerPoint to create interactive resources</w:t>
                  </w:r>
                  <w:r w:rsidR="006202BA">
                    <w:rPr>
                      <w:rFonts w:eastAsia="Times New Roman" w:cs="Times New Roman"/>
                      <w:bCs/>
                      <w:sz w:val="24"/>
                      <w:szCs w:val="24"/>
                      <w:lang w:eastAsia="en-IE"/>
                    </w:rPr>
                    <w:t xml:space="preserve"> (Michael McMahon)</w:t>
                  </w:r>
                </w:p>
                <w:p w:rsidR="00556F02" w:rsidRDefault="00556F02" w:rsidP="0067046E">
                  <w:pPr>
                    <w:pStyle w:val="ListParagraph"/>
                    <w:numPr>
                      <w:ilvl w:val="0"/>
                      <w:numId w:val="8"/>
                    </w:numPr>
                    <w:rPr>
                      <w:rFonts w:eastAsia="Times New Roman" w:cs="Times New Roman"/>
                      <w:bCs/>
                      <w:sz w:val="24"/>
                      <w:szCs w:val="24"/>
                      <w:lang w:eastAsia="en-IE"/>
                    </w:rPr>
                  </w:pPr>
                  <w:r w:rsidRPr="002D7B02">
                    <w:rPr>
                      <w:rFonts w:eastAsia="Times New Roman" w:cs="Times New Roman"/>
                      <w:bCs/>
                      <w:sz w:val="24"/>
                      <w:szCs w:val="24"/>
                      <w:lang w:eastAsia="en-IE"/>
                    </w:rPr>
                    <w:t>Universal Design for Learning (UDL) - using advanced PowerPoint to create interactive resources</w:t>
                  </w:r>
                  <w:r w:rsidR="006202BA">
                    <w:rPr>
                      <w:rFonts w:eastAsia="Times New Roman" w:cs="Times New Roman"/>
                      <w:bCs/>
                      <w:sz w:val="24"/>
                      <w:szCs w:val="24"/>
                      <w:lang w:eastAsia="en-IE"/>
                    </w:rPr>
                    <w:t xml:space="preserve"> (Michael McMahon)</w:t>
                  </w:r>
                </w:p>
                <w:p w:rsidR="00556F02" w:rsidRPr="00791785" w:rsidRDefault="00463E44" w:rsidP="0067046E">
                  <w:pPr>
                    <w:rPr>
                      <w:b/>
                      <w:sz w:val="24"/>
                      <w:szCs w:val="24"/>
                    </w:rPr>
                  </w:pPr>
                  <w:r w:rsidRPr="00791785">
                    <w:rPr>
                      <w:b/>
                      <w:sz w:val="24"/>
                      <w:szCs w:val="24"/>
                    </w:rPr>
                    <w:t>Additional supports were provided for the What works and Why? awardees:</w:t>
                  </w:r>
                </w:p>
                <w:tbl>
                  <w:tblPr>
                    <w:tblStyle w:val="TableGrid"/>
                    <w:tblW w:w="0" w:type="auto"/>
                    <w:tblLook w:val="04A0" w:firstRow="1" w:lastRow="0" w:firstColumn="1" w:lastColumn="0" w:noHBand="0" w:noVBand="1"/>
                  </w:tblPr>
                  <w:tblGrid>
                    <w:gridCol w:w="2547"/>
                    <w:gridCol w:w="6469"/>
                  </w:tblGrid>
                  <w:tr w:rsidR="0080767D" w:rsidRPr="00930B90" w:rsidTr="0080767D">
                    <w:tc>
                      <w:tcPr>
                        <w:tcW w:w="2547" w:type="dxa"/>
                        <w:tcBorders>
                          <w:top w:val="nil"/>
                          <w:left w:val="nil"/>
                          <w:bottom w:val="nil"/>
                          <w:right w:val="nil"/>
                        </w:tcBorders>
                      </w:tcPr>
                      <w:p w:rsidR="0080767D" w:rsidRPr="00930B90" w:rsidRDefault="0080767D" w:rsidP="0080767D">
                        <w:pPr>
                          <w:rPr>
                            <w:b/>
                          </w:rPr>
                        </w:pPr>
                        <w:r w:rsidRPr="00930B90">
                          <w:rPr>
                            <w:b/>
                          </w:rPr>
                          <w:t>Project Lead</w:t>
                        </w:r>
                      </w:p>
                    </w:tc>
                    <w:tc>
                      <w:tcPr>
                        <w:tcW w:w="6469" w:type="dxa"/>
                        <w:tcBorders>
                          <w:top w:val="nil"/>
                          <w:left w:val="nil"/>
                          <w:bottom w:val="nil"/>
                          <w:right w:val="nil"/>
                        </w:tcBorders>
                      </w:tcPr>
                      <w:p w:rsidR="0080767D" w:rsidRPr="00930B90" w:rsidRDefault="0080767D" w:rsidP="0080767D">
                        <w:pPr>
                          <w:rPr>
                            <w:b/>
                          </w:rPr>
                        </w:pPr>
                        <w:r w:rsidRPr="00930B90">
                          <w:rPr>
                            <w:b/>
                          </w:rPr>
                          <w:t>Title</w:t>
                        </w:r>
                      </w:p>
                    </w:tc>
                  </w:tr>
                  <w:tr w:rsidR="0080767D" w:rsidRPr="00930B90" w:rsidTr="0080767D">
                    <w:tc>
                      <w:tcPr>
                        <w:tcW w:w="2547" w:type="dxa"/>
                        <w:tcBorders>
                          <w:top w:val="nil"/>
                          <w:left w:val="nil"/>
                          <w:bottom w:val="nil"/>
                          <w:right w:val="nil"/>
                        </w:tcBorders>
                      </w:tcPr>
                      <w:p w:rsidR="0080767D" w:rsidRPr="00930B90" w:rsidRDefault="0080767D" w:rsidP="0080767D">
                        <w:r w:rsidRPr="00930B90">
                          <w:t>Ann-Marie Fitzpatrick</w:t>
                        </w:r>
                      </w:p>
                    </w:tc>
                    <w:tc>
                      <w:tcPr>
                        <w:tcW w:w="6469" w:type="dxa"/>
                        <w:tcBorders>
                          <w:top w:val="nil"/>
                          <w:left w:val="nil"/>
                          <w:bottom w:val="nil"/>
                          <w:right w:val="nil"/>
                        </w:tcBorders>
                      </w:tcPr>
                      <w:p w:rsidR="0080767D" w:rsidRPr="00930B90" w:rsidRDefault="0080767D" w:rsidP="0080767D">
                        <w:r w:rsidRPr="00930B90">
                          <w:t>Technology Enhanced Teaching within the Clinical Practice Setting</w:t>
                        </w:r>
                      </w:p>
                    </w:tc>
                  </w:tr>
                  <w:tr w:rsidR="0080767D" w:rsidRPr="00930B90" w:rsidTr="0080767D">
                    <w:tc>
                      <w:tcPr>
                        <w:tcW w:w="2547" w:type="dxa"/>
                        <w:tcBorders>
                          <w:top w:val="nil"/>
                          <w:left w:val="nil"/>
                          <w:bottom w:val="nil"/>
                          <w:right w:val="nil"/>
                        </w:tcBorders>
                      </w:tcPr>
                      <w:p w:rsidR="0080767D" w:rsidRPr="00930B90" w:rsidRDefault="0080767D" w:rsidP="0080767D">
                        <w:r w:rsidRPr="00930B90">
                          <w:t>Nicole McKenna</w:t>
                        </w:r>
                      </w:p>
                    </w:tc>
                    <w:tc>
                      <w:tcPr>
                        <w:tcW w:w="6469" w:type="dxa"/>
                        <w:tcBorders>
                          <w:top w:val="nil"/>
                          <w:left w:val="nil"/>
                          <w:bottom w:val="nil"/>
                          <w:right w:val="nil"/>
                        </w:tcBorders>
                      </w:tcPr>
                      <w:p w:rsidR="0080767D" w:rsidRPr="00930B90" w:rsidRDefault="0080767D" w:rsidP="0080767D">
                        <w:r w:rsidRPr="00930B90">
                          <w:t>Animate – ideas worth sharing</w:t>
                        </w:r>
                      </w:p>
                    </w:tc>
                  </w:tr>
                  <w:tr w:rsidR="0080767D" w:rsidRPr="00930B90" w:rsidTr="0080767D">
                    <w:tc>
                      <w:tcPr>
                        <w:tcW w:w="2547" w:type="dxa"/>
                        <w:tcBorders>
                          <w:top w:val="nil"/>
                          <w:left w:val="nil"/>
                          <w:bottom w:val="nil"/>
                          <w:right w:val="nil"/>
                        </w:tcBorders>
                      </w:tcPr>
                      <w:p w:rsidR="0080767D" w:rsidRPr="00930B90" w:rsidRDefault="0080767D" w:rsidP="0080767D">
                        <w:r w:rsidRPr="00930B90">
                          <w:t>Dr Jason Palframan</w:t>
                        </w:r>
                      </w:p>
                    </w:tc>
                    <w:tc>
                      <w:tcPr>
                        <w:tcW w:w="6469" w:type="dxa"/>
                        <w:tcBorders>
                          <w:top w:val="nil"/>
                          <w:left w:val="nil"/>
                          <w:bottom w:val="nil"/>
                          <w:right w:val="nil"/>
                        </w:tcBorders>
                      </w:tcPr>
                      <w:p w:rsidR="0080767D" w:rsidRPr="00930B90" w:rsidRDefault="0080767D" w:rsidP="0080767D">
                        <w:r w:rsidRPr="00930B90">
                          <w:t>Exploring the use of the Flipped Classroom with Learning and Development for Higher Education (LDHE)</w:t>
                        </w:r>
                      </w:p>
                    </w:tc>
                  </w:tr>
                  <w:tr w:rsidR="0080767D" w:rsidRPr="00930B90" w:rsidTr="00090A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7" w:type="dxa"/>
                      </w:tcPr>
                      <w:p w:rsidR="0080767D" w:rsidRPr="00930B90" w:rsidRDefault="0080767D" w:rsidP="0080767D">
                        <w:r w:rsidRPr="00930B90">
                          <w:t>Dr. Teresa O’Hara</w:t>
                        </w:r>
                      </w:p>
                    </w:tc>
                    <w:tc>
                      <w:tcPr>
                        <w:tcW w:w="6469" w:type="dxa"/>
                      </w:tcPr>
                      <w:p w:rsidR="0080767D" w:rsidRPr="00930B90" w:rsidRDefault="0080767D" w:rsidP="0080767D">
                        <w:r w:rsidRPr="00930B90">
                          <w:t>Using Audience Response Technologies (ART) to Enhance Student Engagement and Learning</w:t>
                        </w:r>
                      </w:p>
                    </w:tc>
                  </w:tr>
                  <w:tr w:rsidR="0080767D" w:rsidRPr="00930B90" w:rsidTr="00090A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7" w:type="dxa"/>
                      </w:tcPr>
                      <w:p w:rsidR="0080767D" w:rsidRPr="00930B90" w:rsidRDefault="0080767D" w:rsidP="0080767D">
                        <w:r w:rsidRPr="00930B90">
                          <w:t>Catherine O'Donoghue</w:t>
                        </w:r>
                      </w:p>
                    </w:tc>
                    <w:tc>
                      <w:tcPr>
                        <w:tcW w:w="6469" w:type="dxa"/>
                      </w:tcPr>
                      <w:p w:rsidR="0080767D" w:rsidRPr="00930B90" w:rsidRDefault="0080767D" w:rsidP="0080767D">
                        <w:r w:rsidRPr="00930B90">
                          <w:t>Orientation to Academic Writing</w:t>
                        </w:r>
                      </w:p>
                    </w:tc>
                  </w:tr>
                  <w:tr w:rsidR="0080767D" w:rsidRPr="00930B90" w:rsidTr="00090A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2547" w:type="dxa"/>
                      </w:tcPr>
                      <w:p w:rsidR="0080767D" w:rsidRPr="00930B90" w:rsidRDefault="0080767D" w:rsidP="0080767D">
                        <w:r w:rsidRPr="00930B90">
                          <w:t>Michael O’Rourke</w:t>
                        </w:r>
                      </w:p>
                    </w:tc>
                    <w:tc>
                      <w:tcPr>
                        <w:tcW w:w="6469" w:type="dxa"/>
                      </w:tcPr>
                      <w:p w:rsidR="0080767D" w:rsidRPr="00930B90" w:rsidRDefault="0080767D" w:rsidP="0080767D">
                        <w:r w:rsidRPr="00930B90">
                          <w:t>Using OERs, PERs, Blending and Flipping to Deliver a Computer Systems Module for Year 1 Students</w:t>
                        </w:r>
                      </w:p>
                    </w:tc>
                  </w:tr>
                  <w:tr w:rsidR="0080767D" w:rsidRPr="00930B90" w:rsidTr="00090A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2547" w:type="dxa"/>
                      </w:tcPr>
                      <w:p w:rsidR="0080767D" w:rsidRPr="00930B90" w:rsidRDefault="0080767D" w:rsidP="0080767D">
                        <w:r w:rsidRPr="00930B90">
                          <w:t>Dr. Anne Mulvihill</w:t>
                        </w:r>
                      </w:p>
                    </w:tc>
                    <w:tc>
                      <w:tcPr>
                        <w:tcW w:w="6469" w:type="dxa"/>
                      </w:tcPr>
                      <w:p w:rsidR="0080767D" w:rsidRPr="00930B90" w:rsidRDefault="0080767D" w:rsidP="0080767D">
                        <w:r w:rsidRPr="00930B90">
                          <w:t>iPads as Virtual Hard Back Notebooks – science students documenting their own learning experience</w:t>
                        </w:r>
                      </w:p>
                    </w:tc>
                  </w:tr>
                  <w:tr w:rsidR="0080767D" w:rsidRPr="00930B90" w:rsidTr="00090A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2547" w:type="dxa"/>
                      </w:tcPr>
                      <w:p w:rsidR="0080767D" w:rsidRPr="00930B90" w:rsidRDefault="0080767D" w:rsidP="0080767D">
                        <w:r w:rsidRPr="00930B90">
                          <w:t>Diane Patterson</w:t>
                        </w:r>
                      </w:p>
                    </w:tc>
                    <w:tc>
                      <w:tcPr>
                        <w:tcW w:w="6469" w:type="dxa"/>
                      </w:tcPr>
                      <w:p w:rsidR="0080767D" w:rsidRPr="00930B90" w:rsidRDefault="0080767D" w:rsidP="0080767D">
                        <w:r w:rsidRPr="00930B90">
                          <w:t>Comparison Digital Mediums for use within the Online Classroom</w:t>
                        </w:r>
                      </w:p>
                    </w:tc>
                  </w:tr>
                  <w:tr w:rsidR="0080767D" w:rsidRPr="00930B90" w:rsidTr="00090A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2547" w:type="dxa"/>
                      </w:tcPr>
                      <w:p w:rsidR="0080767D" w:rsidRPr="00930B90" w:rsidRDefault="0080767D" w:rsidP="0080767D">
                        <w:r w:rsidRPr="00930B90">
                          <w:t>David O'Hanlon</w:t>
                        </w:r>
                      </w:p>
                    </w:tc>
                    <w:tc>
                      <w:tcPr>
                        <w:tcW w:w="6469" w:type="dxa"/>
                      </w:tcPr>
                      <w:p w:rsidR="0080767D" w:rsidRPr="00930B90" w:rsidRDefault="0080767D" w:rsidP="0080767D">
                        <w:r w:rsidRPr="00930B90">
                          <w:t>Evaluating the "Virtual Enterprise Hub"</w:t>
                        </w:r>
                      </w:p>
                    </w:tc>
                  </w:tr>
                  <w:tr w:rsidR="0080767D" w:rsidRPr="00930B90" w:rsidTr="00090A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2547" w:type="dxa"/>
                      </w:tcPr>
                      <w:p w:rsidR="0080767D" w:rsidRPr="00930B90" w:rsidRDefault="0080767D" w:rsidP="00B003C6">
                        <w:r w:rsidRPr="00930B90">
                          <w:t>Shane Feeney</w:t>
                        </w:r>
                      </w:p>
                    </w:tc>
                    <w:tc>
                      <w:tcPr>
                        <w:tcW w:w="6469" w:type="dxa"/>
                      </w:tcPr>
                      <w:p w:rsidR="0080767D" w:rsidRPr="00930B90" w:rsidRDefault="0080767D" w:rsidP="0080767D">
                        <w:r w:rsidRPr="00930B90">
                          <w:t>BYOD Classroom</w:t>
                        </w:r>
                      </w:p>
                    </w:tc>
                  </w:tr>
                </w:tbl>
                <w:p w:rsidR="00E63767" w:rsidRPr="002D7B02" w:rsidRDefault="00E63767" w:rsidP="00791785">
                  <w:pPr>
                    <w:rPr>
                      <w:sz w:val="24"/>
                      <w:szCs w:val="24"/>
                    </w:rPr>
                  </w:pPr>
                </w:p>
              </w:tc>
            </w:tr>
            <w:tr w:rsidR="00556F02" w:rsidRPr="002D7B02" w:rsidTr="007F435F">
              <w:trPr>
                <w:trHeight w:val="474"/>
              </w:trPr>
              <w:tc>
                <w:tcPr>
                  <w:tcW w:w="9667" w:type="dxa"/>
                  <w:tcBorders>
                    <w:top w:val="nil"/>
                    <w:left w:val="nil"/>
                    <w:bottom w:val="nil"/>
                    <w:right w:val="nil"/>
                  </w:tcBorders>
                </w:tcPr>
                <w:p w:rsidR="00784342" w:rsidRPr="00781A88" w:rsidRDefault="00556F02" w:rsidP="0067046E">
                  <w:pPr>
                    <w:rPr>
                      <w:b/>
                      <w:sz w:val="24"/>
                      <w:szCs w:val="24"/>
                    </w:rPr>
                  </w:pPr>
                  <w:r w:rsidRPr="00781A88">
                    <w:rPr>
                      <w:b/>
                      <w:sz w:val="24"/>
                      <w:szCs w:val="24"/>
                    </w:rPr>
                    <w:lastRenderedPageBreak/>
                    <w:t xml:space="preserve">AIT </w:t>
                  </w:r>
                  <w:r w:rsidR="00784342" w:rsidRPr="00781A88">
                    <w:rPr>
                      <w:b/>
                      <w:sz w:val="24"/>
                      <w:szCs w:val="24"/>
                    </w:rPr>
                    <w:t xml:space="preserve">L&amp;T Unit </w:t>
                  </w:r>
                  <w:r w:rsidRPr="00781A88">
                    <w:rPr>
                      <w:b/>
                      <w:sz w:val="24"/>
                      <w:szCs w:val="24"/>
                    </w:rPr>
                    <w:t xml:space="preserve">National Seminar funded by the </w:t>
                  </w:r>
                  <w:r w:rsidR="00784342" w:rsidRPr="00781A88">
                    <w:rPr>
                      <w:b/>
                      <w:sz w:val="24"/>
                      <w:szCs w:val="24"/>
                    </w:rPr>
                    <w:t xml:space="preserve">National Forum for the Enhancement of Teaching and Learning </w:t>
                  </w:r>
                </w:p>
                <w:p w:rsidR="00556F02" w:rsidRPr="002D7B02" w:rsidRDefault="00556F02" w:rsidP="0067046E">
                  <w:pPr>
                    <w:rPr>
                      <w:b/>
                      <w:sz w:val="24"/>
                      <w:szCs w:val="24"/>
                    </w:rPr>
                  </w:pPr>
                  <w:r w:rsidRPr="002D7B02">
                    <w:rPr>
                      <w:sz w:val="24"/>
                      <w:szCs w:val="24"/>
                    </w:rPr>
                    <w:t>Dr. Peggy O’Neill, Professor of Writing Loyola University presented “</w:t>
                  </w:r>
                  <w:r w:rsidRPr="002D7B02">
                    <w:rPr>
                      <w:b/>
                      <w:sz w:val="24"/>
                      <w:szCs w:val="24"/>
                    </w:rPr>
                    <w:t>Assessing and Evaluating Writing – Defining what ‘good’ writing looks like across the disciplines”.</w:t>
                  </w:r>
                  <w:r w:rsidR="00784342">
                    <w:rPr>
                      <w:b/>
                      <w:sz w:val="24"/>
                      <w:szCs w:val="24"/>
                    </w:rPr>
                    <w:t xml:space="preserve"> </w:t>
                  </w:r>
                  <w:r w:rsidR="00784342" w:rsidRPr="002D7B02">
                    <w:rPr>
                      <w:sz w:val="24"/>
                      <w:szCs w:val="24"/>
                    </w:rPr>
                    <w:t>(</w:t>
                  </w:r>
                  <w:r w:rsidR="00784342">
                    <w:rPr>
                      <w:sz w:val="24"/>
                      <w:szCs w:val="24"/>
                    </w:rPr>
                    <w:t xml:space="preserve">14 </w:t>
                  </w:r>
                  <w:r w:rsidR="00784342" w:rsidRPr="002D7B02">
                    <w:rPr>
                      <w:sz w:val="24"/>
                      <w:szCs w:val="24"/>
                    </w:rPr>
                    <w:t>June</w:t>
                  </w:r>
                  <w:r w:rsidR="00784342" w:rsidRPr="000A5BCE">
                    <w:rPr>
                      <w:color w:val="FF0000"/>
                      <w:sz w:val="24"/>
                      <w:szCs w:val="24"/>
                    </w:rPr>
                    <w:t xml:space="preserve"> </w:t>
                  </w:r>
                  <w:r w:rsidR="00784342" w:rsidRPr="002D7B02">
                    <w:rPr>
                      <w:sz w:val="24"/>
                      <w:szCs w:val="24"/>
                    </w:rPr>
                    <w:t>2016)</w:t>
                  </w:r>
                </w:p>
                <w:p w:rsidR="00F71EA9" w:rsidRPr="002D7B02" w:rsidRDefault="00F71EA9" w:rsidP="0067046E">
                  <w:pPr>
                    <w:rPr>
                      <w:b/>
                      <w:sz w:val="24"/>
                      <w:szCs w:val="24"/>
                    </w:rPr>
                  </w:pPr>
                </w:p>
              </w:tc>
            </w:tr>
            <w:tr w:rsidR="00556F02" w:rsidRPr="002D7B02" w:rsidTr="007F435F">
              <w:trPr>
                <w:trHeight w:val="474"/>
              </w:trPr>
              <w:tc>
                <w:tcPr>
                  <w:tcW w:w="9667" w:type="dxa"/>
                  <w:tcBorders>
                    <w:top w:val="nil"/>
                    <w:left w:val="nil"/>
                    <w:bottom w:val="nil"/>
                    <w:right w:val="nil"/>
                  </w:tcBorders>
                </w:tcPr>
                <w:p w:rsidR="00556F02" w:rsidRDefault="00556F02" w:rsidP="0067046E">
                  <w:pPr>
                    <w:rPr>
                      <w:sz w:val="24"/>
                      <w:szCs w:val="24"/>
                    </w:rPr>
                  </w:pPr>
                  <w:r w:rsidRPr="002D7B02">
                    <w:rPr>
                      <w:sz w:val="24"/>
                      <w:szCs w:val="24"/>
                    </w:rPr>
                    <w:t>Learning &amp; Teaching Unit Annual Showcase (</w:t>
                  </w:r>
                  <w:r w:rsidR="00E63767">
                    <w:rPr>
                      <w:sz w:val="24"/>
                      <w:szCs w:val="24"/>
                    </w:rPr>
                    <w:t xml:space="preserve">14 </w:t>
                  </w:r>
                  <w:r w:rsidRPr="002D7B02">
                    <w:rPr>
                      <w:sz w:val="24"/>
                      <w:szCs w:val="24"/>
                    </w:rPr>
                    <w:t>June 2016) Show and Tell presentations by AIT st</w:t>
                  </w:r>
                  <w:r w:rsidR="00791785">
                    <w:rPr>
                      <w:sz w:val="24"/>
                      <w:szCs w:val="24"/>
                    </w:rPr>
                    <w:t>aff undertaking</w:t>
                  </w:r>
                  <w:r w:rsidR="006202BA">
                    <w:rPr>
                      <w:sz w:val="24"/>
                      <w:szCs w:val="24"/>
                    </w:rPr>
                    <w:t xml:space="preserve"> action research projects:-</w:t>
                  </w:r>
                </w:p>
                <w:p w:rsidR="006202BA" w:rsidRPr="00B225A3" w:rsidRDefault="006202BA" w:rsidP="006202BA">
                  <w:pPr>
                    <w:pStyle w:val="ListParagraph"/>
                    <w:numPr>
                      <w:ilvl w:val="0"/>
                      <w:numId w:val="10"/>
                    </w:numPr>
                    <w:ind w:left="360"/>
                    <w:rPr>
                      <w:i/>
                      <w:iCs/>
                      <w:sz w:val="24"/>
                      <w:szCs w:val="24"/>
                    </w:rPr>
                  </w:pPr>
                  <w:r w:rsidRPr="00B225A3">
                    <w:rPr>
                      <w:i/>
                      <w:iCs/>
                      <w:sz w:val="24"/>
                      <w:szCs w:val="24"/>
                    </w:rPr>
                    <w:t xml:space="preserve">‘Can you hear what I’ve just written?’ Using Texthelp for Academic Writing </w:t>
                  </w:r>
                </w:p>
                <w:p w:rsidR="006202BA" w:rsidRPr="00B225A3" w:rsidRDefault="006202BA" w:rsidP="006202BA">
                  <w:pPr>
                    <w:pStyle w:val="ListParagraph"/>
                    <w:ind w:left="360"/>
                    <w:rPr>
                      <w:sz w:val="24"/>
                      <w:szCs w:val="24"/>
                    </w:rPr>
                  </w:pPr>
                  <w:r w:rsidRPr="00B225A3">
                    <w:rPr>
                      <w:sz w:val="24"/>
                      <w:szCs w:val="24"/>
                    </w:rPr>
                    <w:t>Miriam Croke, Faculty of Science</w:t>
                  </w:r>
                </w:p>
                <w:p w:rsidR="006202BA" w:rsidRPr="00B225A3" w:rsidRDefault="006202BA" w:rsidP="006202BA">
                  <w:pPr>
                    <w:pStyle w:val="ListParagraph"/>
                    <w:numPr>
                      <w:ilvl w:val="0"/>
                      <w:numId w:val="10"/>
                    </w:numPr>
                    <w:ind w:left="360"/>
                    <w:rPr>
                      <w:i/>
                      <w:iCs/>
                      <w:sz w:val="24"/>
                      <w:szCs w:val="24"/>
                    </w:rPr>
                  </w:pPr>
                  <w:r w:rsidRPr="00B225A3">
                    <w:rPr>
                      <w:i/>
                      <w:iCs/>
                      <w:color w:val="000000"/>
                      <w:sz w:val="24"/>
                      <w:szCs w:val="24"/>
                    </w:rPr>
                    <w:t>Learning about Teamwork Assessment</w:t>
                  </w:r>
                  <w:r w:rsidRPr="00B225A3">
                    <w:rPr>
                      <w:i/>
                      <w:iCs/>
                      <w:sz w:val="24"/>
                      <w:szCs w:val="24"/>
                    </w:rPr>
                    <w:t xml:space="preserve"> </w:t>
                  </w:r>
                </w:p>
                <w:p w:rsidR="006202BA" w:rsidRPr="00B225A3" w:rsidRDefault="006202BA" w:rsidP="006202BA">
                  <w:pPr>
                    <w:pStyle w:val="ListParagraph"/>
                    <w:ind w:left="360"/>
                    <w:rPr>
                      <w:sz w:val="24"/>
                      <w:szCs w:val="24"/>
                    </w:rPr>
                  </w:pPr>
                  <w:r w:rsidRPr="00B225A3">
                    <w:rPr>
                      <w:sz w:val="24"/>
                      <w:szCs w:val="24"/>
                    </w:rPr>
                    <w:t>Joe O’Brien, Faculty of Engineering</w:t>
                  </w:r>
                </w:p>
                <w:p w:rsidR="006202BA" w:rsidRPr="00B225A3" w:rsidRDefault="006202BA" w:rsidP="006202BA">
                  <w:pPr>
                    <w:pStyle w:val="ListParagraph"/>
                    <w:numPr>
                      <w:ilvl w:val="0"/>
                      <w:numId w:val="10"/>
                    </w:numPr>
                    <w:ind w:left="360"/>
                    <w:rPr>
                      <w:sz w:val="24"/>
                      <w:szCs w:val="24"/>
                      <w:lang w:val="en"/>
                    </w:rPr>
                  </w:pPr>
                  <w:r w:rsidRPr="00B225A3">
                    <w:rPr>
                      <w:i/>
                      <w:iCs/>
                      <w:color w:val="1F497D"/>
                      <w:sz w:val="24"/>
                      <w:szCs w:val="24"/>
                    </w:rPr>
                    <w:t>G</w:t>
                  </w:r>
                  <w:r w:rsidRPr="00B225A3">
                    <w:rPr>
                      <w:i/>
                      <w:iCs/>
                      <w:sz w:val="24"/>
                      <w:szCs w:val="24"/>
                      <w:lang w:val="en"/>
                    </w:rPr>
                    <w:t>roup work and its’ impact on teaching practice and on the students’ learning experience</w:t>
                  </w:r>
                  <w:r w:rsidRPr="00B225A3">
                    <w:rPr>
                      <w:sz w:val="24"/>
                      <w:szCs w:val="24"/>
                      <w:lang w:val="en"/>
                    </w:rPr>
                    <w:t>.</w:t>
                  </w:r>
                </w:p>
                <w:p w:rsidR="006202BA" w:rsidRPr="00B225A3" w:rsidRDefault="006202BA" w:rsidP="006202BA">
                  <w:pPr>
                    <w:pStyle w:val="ListParagraph"/>
                    <w:ind w:left="360"/>
                    <w:rPr>
                      <w:sz w:val="24"/>
                      <w:szCs w:val="24"/>
                      <w:lang w:val="en-US"/>
                    </w:rPr>
                  </w:pPr>
                  <w:r w:rsidRPr="00B225A3">
                    <w:rPr>
                      <w:sz w:val="24"/>
                      <w:szCs w:val="24"/>
                    </w:rPr>
                    <w:t>Eileen Lane, Faculty of Science</w:t>
                  </w:r>
                </w:p>
                <w:p w:rsidR="006202BA" w:rsidRPr="00B225A3" w:rsidRDefault="006202BA" w:rsidP="006202BA">
                  <w:pPr>
                    <w:pStyle w:val="ListParagraph"/>
                    <w:numPr>
                      <w:ilvl w:val="0"/>
                      <w:numId w:val="10"/>
                    </w:numPr>
                    <w:ind w:left="360"/>
                    <w:rPr>
                      <w:i/>
                      <w:iCs/>
                      <w:color w:val="000000"/>
                      <w:sz w:val="24"/>
                      <w:szCs w:val="24"/>
                    </w:rPr>
                  </w:pPr>
                  <w:r w:rsidRPr="00B225A3">
                    <w:rPr>
                      <w:i/>
                      <w:iCs/>
                      <w:color w:val="000000"/>
                      <w:sz w:val="24"/>
                      <w:szCs w:val="24"/>
                    </w:rPr>
                    <w:t>How do we support students to become independent learners?</w:t>
                  </w:r>
                </w:p>
                <w:p w:rsidR="006202BA" w:rsidRDefault="006202BA" w:rsidP="006202BA">
                  <w:pPr>
                    <w:pStyle w:val="ListParagraph"/>
                    <w:ind w:left="360"/>
                    <w:rPr>
                      <w:sz w:val="24"/>
                      <w:szCs w:val="24"/>
                    </w:rPr>
                  </w:pPr>
                  <w:r w:rsidRPr="00B225A3">
                    <w:rPr>
                      <w:sz w:val="24"/>
                      <w:szCs w:val="24"/>
                    </w:rPr>
                    <w:t>Kirpa Chandan, Faculty of Science</w:t>
                  </w:r>
                </w:p>
                <w:p w:rsidR="006202BA" w:rsidRPr="00B225A3" w:rsidRDefault="006202BA" w:rsidP="006202BA">
                  <w:pPr>
                    <w:pStyle w:val="ListParagraph"/>
                    <w:ind w:left="360"/>
                    <w:rPr>
                      <w:sz w:val="24"/>
                      <w:szCs w:val="24"/>
                      <w:lang w:val="en-US"/>
                    </w:rPr>
                  </w:pPr>
                </w:p>
                <w:p w:rsidR="00364CB8" w:rsidRDefault="00364CB8" w:rsidP="00364CB8">
                  <w:pPr>
                    <w:rPr>
                      <w:rFonts w:eastAsia="Times New Roman" w:cs="Times New Roman"/>
                      <w:bCs/>
                      <w:sz w:val="24"/>
                      <w:szCs w:val="24"/>
                      <w:lang w:eastAsia="en-IE"/>
                    </w:rPr>
                  </w:pPr>
                  <w:r w:rsidRPr="00364CB8">
                    <w:rPr>
                      <w:rFonts w:eastAsia="Times New Roman" w:cs="Times New Roman"/>
                      <w:bCs/>
                      <w:sz w:val="24"/>
                      <w:szCs w:val="24"/>
                      <w:lang w:eastAsia="en-IE"/>
                    </w:rPr>
                    <w:t>Technology Enhanced Feedback Approaches</w:t>
                  </w:r>
                  <w:r>
                    <w:rPr>
                      <w:rFonts w:eastAsia="Times New Roman" w:cs="Times New Roman"/>
                      <w:bCs/>
                      <w:sz w:val="24"/>
                      <w:szCs w:val="24"/>
                      <w:lang w:eastAsia="en-IE"/>
                    </w:rPr>
                    <w:t xml:space="preserve"> </w:t>
                  </w:r>
                  <w:r w:rsidR="00784342" w:rsidRPr="002D7B02">
                    <w:rPr>
                      <w:sz w:val="24"/>
                      <w:szCs w:val="24"/>
                    </w:rPr>
                    <w:t>(</w:t>
                  </w:r>
                  <w:r w:rsidR="00784342">
                    <w:rPr>
                      <w:sz w:val="24"/>
                      <w:szCs w:val="24"/>
                    </w:rPr>
                    <w:t xml:space="preserve">14 </w:t>
                  </w:r>
                  <w:r w:rsidR="00784342" w:rsidRPr="002D7B02">
                    <w:rPr>
                      <w:sz w:val="24"/>
                      <w:szCs w:val="24"/>
                    </w:rPr>
                    <w:t xml:space="preserve">June 2016) </w:t>
                  </w:r>
                  <w:r w:rsidR="00784342">
                    <w:rPr>
                      <w:rFonts w:eastAsia="Times New Roman" w:cs="Times New Roman"/>
                      <w:bCs/>
                      <w:sz w:val="24"/>
                      <w:szCs w:val="24"/>
                      <w:lang w:eastAsia="en-IE"/>
                    </w:rPr>
                    <w:t xml:space="preserve">(Nuala Harding &amp; </w:t>
                  </w:r>
                  <w:r w:rsidR="006202BA">
                    <w:rPr>
                      <w:rFonts w:eastAsia="Times New Roman" w:cs="Times New Roman"/>
                      <w:bCs/>
                      <w:sz w:val="24"/>
                      <w:szCs w:val="24"/>
                      <w:lang w:eastAsia="en-IE"/>
                    </w:rPr>
                    <w:t xml:space="preserve">Seamus Ryan) </w:t>
                  </w:r>
                </w:p>
                <w:p w:rsidR="00781A88" w:rsidRDefault="00781A88" w:rsidP="00791785">
                  <w:pPr>
                    <w:rPr>
                      <w:sz w:val="24"/>
                      <w:szCs w:val="24"/>
                    </w:rPr>
                  </w:pPr>
                </w:p>
                <w:p w:rsidR="00791785" w:rsidRDefault="00781A88" w:rsidP="00791785">
                  <w:pPr>
                    <w:rPr>
                      <w:sz w:val="24"/>
                      <w:szCs w:val="24"/>
                    </w:rPr>
                  </w:pPr>
                  <w:r>
                    <w:rPr>
                      <w:sz w:val="24"/>
                      <w:szCs w:val="24"/>
                    </w:rPr>
                    <w:t xml:space="preserve">In order to support Phd and Ed D researchers training in the software package </w:t>
                  </w:r>
                  <w:r w:rsidR="00791785" w:rsidRPr="002D7B02">
                    <w:rPr>
                      <w:sz w:val="24"/>
                      <w:szCs w:val="24"/>
                    </w:rPr>
                    <w:t xml:space="preserve">Nvivo </w:t>
                  </w:r>
                  <w:r w:rsidR="00791785">
                    <w:rPr>
                      <w:sz w:val="24"/>
                      <w:szCs w:val="24"/>
                    </w:rPr>
                    <w:t xml:space="preserve">for Qualitative Research </w:t>
                  </w:r>
                  <w:r>
                    <w:rPr>
                      <w:sz w:val="24"/>
                      <w:szCs w:val="24"/>
                    </w:rPr>
                    <w:t xml:space="preserve">was </w:t>
                  </w:r>
                  <w:r w:rsidR="00791785">
                    <w:rPr>
                      <w:sz w:val="24"/>
                      <w:szCs w:val="24"/>
                    </w:rPr>
                    <w:t>held on 20 May and 13 June 2016 supported by the Professional Development Committee.</w:t>
                  </w:r>
                </w:p>
                <w:p w:rsidR="00791785" w:rsidRDefault="00791785" w:rsidP="00364CB8">
                  <w:pPr>
                    <w:rPr>
                      <w:rFonts w:eastAsia="Times New Roman" w:cs="Times New Roman"/>
                      <w:bCs/>
                      <w:sz w:val="24"/>
                      <w:szCs w:val="24"/>
                      <w:lang w:eastAsia="en-IE"/>
                    </w:rPr>
                  </w:pPr>
                </w:p>
                <w:p w:rsidR="00FD1477" w:rsidRPr="002D7B02" w:rsidRDefault="00FD1477" w:rsidP="00FD1477">
                  <w:pPr>
                    <w:spacing w:line="259" w:lineRule="auto"/>
                    <w:rPr>
                      <w:b/>
                      <w:sz w:val="24"/>
                      <w:szCs w:val="24"/>
                    </w:rPr>
                  </w:pPr>
                  <w:r w:rsidRPr="002D7B02">
                    <w:rPr>
                      <w:b/>
                      <w:sz w:val="24"/>
                      <w:szCs w:val="24"/>
                    </w:rPr>
                    <w:t>Additional Ongoing Staff Development: -</w:t>
                  </w:r>
                </w:p>
                <w:p w:rsidR="00FD1477" w:rsidRPr="002D7B02" w:rsidRDefault="00FD1477" w:rsidP="00FD1477">
                  <w:pPr>
                    <w:pStyle w:val="ListParagraph"/>
                    <w:numPr>
                      <w:ilvl w:val="0"/>
                      <w:numId w:val="2"/>
                    </w:numPr>
                    <w:ind w:left="360"/>
                    <w:rPr>
                      <w:sz w:val="24"/>
                      <w:szCs w:val="24"/>
                    </w:rPr>
                  </w:pPr>
                  <w:r w:rsidRPr="002D7B02">
                    <w:rPr>
                      <w:sz w:val="24"/>
                      <w:szCs w:val="24"/>
                    </w:rPr>
                    <w:t xml:space="preserve">New Staff Induction Programme - the two-day staff induction programme piloted in September </w:t>
                  </w:r>
                  <w:r>
                    <w:rPr>
                      <w:sz w:val="24"/>
                      <w:szCs w:val="24"/>
                    </w:rPr>
                    <w:t xml:space="preserve">2015 and subsequently approved </w:t>
                  </w:r>
                  <w:r w:rsidRPr="002D7B02">
                    <w:rPr>
                      <w:sz w:val="24"/>
                      <w:szCs w:val="24"/>
                    </w:rPr>
                    <w:t>by the Executive Management Team and will be offered at the start of each academic year to all new appointees.</w:t>
                  </w:r>
                </w:p>
                <w:p w:rsidR="00FD1477" w:rsidRPr="002D7B02" w:rsidRDefault="00FD1477" w:rsidP="00FD1477">
                  <w:pPr>
                    <w:pStyle w:val="ListParagraph"/>
                    <w:numPr>
                      <w:ilvl w:val="0"/>
                      <w:numId w:val="2"/>
                    </w:numPr>
                    <w:spacing w:line="259" w:lineRule="auto"/>
                    <w:ind w:left="360"/>
                    <w:rPr>
                      <w:sz w:val="24"/>
                      <w:szCs w:val="24"/>
                    </w:rPr>
                  </w:pPr>
                  <w:r w:rsidRPr="002D7B02">
                    <w:rPr>
                      <w:sz w:val="24"/>
                      <w:szCs w:val="24"/>
                    </w:rPr>
                    <w:t>Academic Module Manager in preparation for programmatic review</w:t>
                  </w:r>
                </w:p>
                <w:p w:rsidR="00FD1477" w:rsidRPr="002D7B02" w:rsidRDefault="00FD1477" w:rsidP="00FD1477">
                  <w:pPr>
                    <w:pStyle w:val="ListParagraph"/>
                    <w:numPr>
                      <w:ilvl w:val="0"/>
                      <w:numId w:val="2"/>
                    </w:numPr>
                    <w:spacing w:line="259" w:lineRule="auto"/>
                    <w:ind w:left="360"/>
                    <w:rPr>
                      <w:sz w:val="24"/>
                      <w:szCs w:val="24"/>
                    </w:rPr>
                  </w:pPr>
                  <w:r w:rsidRPr="002D7B02">
                    <w:rPr>
                      <w:sz w:val="24"/>
                      <w:szCs w:val="24"/>
                    </w:rPr>
                    <w:t>Examination Workshops</w:t>
                  </w:r>
                </w:p>
                <w:p w:rsidR="00FD1477" w:rsidRPr="002D7B02" w:rsidRDefault="00FD1477" w:rsidP="00FD1477">
                  <w:pPr>
                    <w:pStyle w:val="ListParagraph"/>
                    <w:numPr>
                      <w:ilvl w:val="0"/>
                      <w:numId w:val="2"/>
                    </w:numPr>
                    <w:spacing w:line="259" w:lineRule="auto"/>
                    <w:ind w:left="360"/>
                    <w:rPr>
                      <w:sz w:val="24"/>
                      <w:szCs w:val="24"/>
                    </w:rPr>
                  </w:pPr>
                  <w:r w:rsidRPr="002D7B02">
                    <w:rPr>
                      <w:sz w:val="24"/>
                      <w:szCs w:val="24"/>
                    </w:rPr>
                    <w:t xml:space="preserve">Student Diary Pro – software for monitoring and assessment for students on placement </w:t>
                  </w:r>
                </w:p>
                <w:p w:rsidR="00FD1477" w:rsidRPr="002D7B02" w:rsidRDefault="00FD1477" w:rsidP="00FD1477">
                  <w:pPr>
                    <w:pStyle w:val="ListParagraph"/>
                    <w:numPr>
                      <w:ilvl w:val="0"/>
                      <w:numId w:val="2"/>
                    </w:numPr>
                    <w:ind w:left="360"/>
                    <w:rPr>
                      <w:sz w:val="24"/>
                      <w:szCs w:val="24"/>
                    </w:rPr>
                  </w:pPr>
                  <w:r w:rsidRPr="002D7B02">
                    <w:rPr>
                      <w:sz w:val="24"/>
                      <w:szCs w:val="24"/>
                    </w:rPr>
                    <w:t xml:space="preserve">Classroom technologies including Moodle, , </w:t>
                  </w:r>
                  <w:proofErr w:type="spellStart"/>
                  <w:r w:rsidRPr="002D7B02">
                    <w:rPr>
                      <w:sz w:val="24"/>
                      <w:szCs w:val="24"/>
                    </w:rPr>
                    <w:t>eAssessment</w:t>
                  </w:r>
                  <w:proofErr w:type="spellEnd"/>
                  <w:r w:rsidRPr="002D7B02">
                    <w:rPr>
                      <w:sz w:val="24"/>
                      <w:szCs w:val="24"/>
                    </w:rPr>
                    <w:t xml:space="preserve"> and online learning</w:t>
                  </w:r>
                </w:p>
                <w:p w:rsidR="00FD1477" w:rsidRPr="002D7B02" w:rsidRDefault="00FD1477" w:rsidP="00FD1477">
                  <w:pPr>
                    <w:pStyle w:val="ListParagraph"/>
                    <w:numPr>
                      <w:ilvl w:val="0"/>
                      <w:numId w:val="2"/>
                    </w:numPr>
                    <w:ind w:left="360"/>
                    <w:rPr>
                      <w:sz w:val="24"/>
                      <w:szCs w:val="24"/>
                    </w:rPr>
                  </w:pPr>
                  <w:r w:rsidRPr="002D7B02">
                    <w:rPr>
                      <w:sz w:val="24"/>
                      <w:szCs w:val="24"/>
                    </w:rPr>
                    <w:t>Developing Assessment Rubrics</w:t>
                  </w:r>
                </w:p>
                <w:p w:rsidR="00FD1477" w:rsidRPr="00E63767" w:rsidRDefault="00FD1477" w:rsidP="00FD1477">
                  <w:pPr>
                    <w:pStyle w:val="ListParagraph"/>
                    <w:numPr>
                      <w:ilvl w:val="0"/>
                      <w:numId w:val="2"/>
                    </w:numPr>
                    <w:ind w:left="360"/>
                    <w:rPr>
                      <w:sz w:val="24"/>
                      <w:szCs w:val="24"/>
                    </w:rPr>
                  </w:pPr>
                  <w:r w:rsidRPr="002D7B02">
                    <w:rPr>
                      <w:sz w:val="24"/>
                      <w:szCs w:val="24"/>
                    </w:rPr>
                    <w:t xml:space="preserve">Curriculum Design </w:t>
                  </w:r>
                </w:p>
                <w:p w:rsidR="00FD1477" w:rsidRPr="00364CB8" w:rsidRDefault="00FD1477" w:rsidP="00364CB8">
                  <w:pPr>
                    <w:rPr>
                      <w:rFonts w:eastAsia="Times New Roman" w:cs="Times New Roman"/>
                      <w:bCs/>
                      <w:sz w:val="24"/>
                      <w:szCs w:val="24"/>
                      <w:lang w:eastAsia="en-IE"/>
                    </w:rPr>
                  </w:pPr>
                </w:p>
                <w:p w:rsidR="00DE5141" w:rsidRPr="002D7B02" w:rsidRDefault="00DE5141" w:rsidP="00FD6D0E">
                  <w:pPr>
                    <w:rPr>
                      <w:b/>
                      <w:sz w:val="24"/>
                      <w:szCs w:val="24"/>
                    </w:rPr>
                  </w:pPr>
                  <w:r w:rsidRPr="002D7B02">
                    <w:rPr>
                      <w:b/>
                      <w:sz w:val="24"/>
                      <w:szCs w:val="24"/>
                    </w:rPr>
                    <w:t>Educational Research</w:t>
                  </w:r>
                  <w:r w:rsidR="00B451BB" w:rsidRPr="002D7B02">
                    <w:rPr>
                      <w:b/>
                      <w:sz w:val="24"/>
                      <w:szCs w:val="24"/>
                    </w:rPr>
                    <w:t xml:space="preserve"> </w:t>
                  </w:r>
                </w:p>
                <w:p w:rsidR="00556F02" w:rsidRPr="002D7B02" w:rsidRDefault="00556F02" w:rsidP="00FD6D0E">
                  <w:pPr>
                    <w:rPr>
                      <w:b/>
                      <w:sz w:val="24"/>
                      <w:szCs w:val="24"/>
                    </w:rPr>
                  </w:pPr>
                  <w:r w:rsidRPr="002D7B02">
                    <w:rPr>
                      <w:sz w:val="24"/>
                      <w:szCs w:val="24"/>
                    </w:rPr>
                    <w:t xml:space="preserve">The AIT Learning and Teaching Unit is a collaborative partner on the </w:t>
                  </w:r>
                  <w:r w:rsidR="00FD6D0E" w:rsidRPr="002D7B02">
                    <w:rPr>
                      <w:rFonts w:eastAsia="Times New Roman" w:cs="Times New Roman"/>
                      <w:sz w:val="24"/>
                      <w:szCs w:val="24"/>
                      <w:shd w:val="clear" w:color="auto" w:fill="FFFFFF"/>
                    </w:rPr>
                    <w:t>The Supporting Transition: Enhancing Feedback in First Year Using Digital Technologies (</w:t>
                  </w:r>
                  <w:r w:rsidR="00FD6D0E" w:rsidRPr="002D7B02">
                    <w:rPr>
                      <w:sz w:val="24"/>
                      <w:szCs w:val="24"/>
                    </w:rPr>
                    <w:t xml:space="preserve">Y1 Feedback) </w:t>
                  </w:r>
                  <w:r w:rsidRPr="002D7B02">
                    <w:rPr>
                      <w:sz w:val="24"/>
                      <w:szCs w:val="24"/>
                    </w:rPr>
                    <w:t>project funded by National Forum for the Enhancement of Teaching and Learning</w:t>
                  </w:r>
                  <w:r w:rsidRPr="002D7B02">
                    <w:rPr>
                      <w:b/>
                      <w:sz w:val="24"/>
                      <w:szCs w:val="24"/>
                    </w:rPr>
                    <w:t xml:space="preserve"> </w:t>
                  </w:r>
                  <w:hyperlink r:id="rId6" w:history="1">
                    <w:r w:rsidRPr="002D7B02">
                      <w:rPr>
                        <w:rStyle w:val="Hyperlink"/>
                        <w:b/>
                        <w:sz w:val="24"/>
                        <w:szCs w:val="24"/>
                      </w:rPr>
                      <w:t>http://y1feedback.ie</w:t>
                    </w:r>
                  </w:hyperlink>
                  <w:r w:rsidRPr="002D7B02">
                    <w:rPr>
                      <w:b/>
                      <w:sz w:val="24"/>
                      <w:szCs w:val="24"/>
                    </w:rPr>
                    <w:t xml:space="preserve"> </w:t>
                  </w:r>
                </w:p>
                <w:p w:rsidR="00556F02" w:rsidRPr="002D7B02" w:rsidRDefault="00815492" w:rsidP="0067046E">
                  <w:pPr>
                    <w:rPr>
                      <w:sz w:val="24"/>
                      <w:szCs w:val="24"/>
                    </w:rPr>
                  </w:pPr>
                  <w:r w:rsidRPr="002D7B02">
                    <w:rPr>
                      <w:sz w:val="24"/>
                      <w:szCs w:val="24"/>
                    </w:rPr>
                    <w:t>Two key contributions to the feedback literature were published by the project team in 2016:</w:t>
                  </w:r>
                </w:p>
                <w:p w:rsidR="00815492" w:rsidRPr="002D7B02" w:rsidRDefault="00815492" w:rsidP="0067046E">
                  <w:pPr>
                    <w:rPr>
                      <w:sz w:val="24"/>
                      <w:szCs w:val="24"/>
                    </w:rPr>
                  </w:pPr>
                </w:p>
                <w:p w:rsidR="00815492" w:rsidRPr="00F5540C" w:rsidRDefault="00815492" w:rsidP="0067046E">
                  <w:pPr>
                    <w:rPr>
                      <w:b/>
                      <w:sz w:val="24"/>
                      <w:szCs w:val="24"/>
                    </w:rPr>
                  </w:pPr>
                  <w:r w:rsidRPr="00F5540C">
                    <w:rPr>
                      <w:b/>
                      <w:sz w:val="24"/>
                      <w:szCs w:val="24"/>
                    </w:rPr>
                    <w:t xml:space="preserve">Y1Feedback (2016). Feedback in First Year: A Landscape Snapshot Across Four Irish Higher Education Institutes. Available from:  </w:t>
                  </w:r>
                  <w:hyperlink r:id="rId7" w:history="1">
                    <w:r w:rsidRPr="00F5540C">
                      <w:rPr>
                        <w:rStyle w:val="Hyperlink"/>
                        <w:b/>
                        <w:sz w:val="24"/>
                        <w:szCs w:val="24"/>
                      </w:rPr>
                      <w:t>http://y1feedback.ie</w:t>
                    </w:r>
                  </w:hyperlink>
                </w:p>
                <w:p w:rsidR="00815492" w:rsidRPr="00F5540C" w:rsidRDefault="00815492" w:rsidP="0067046E">
                  <w:pPr>
                    <w:rPr>
                      <w:b/>
                      <w:sz w:val="24"/>
                      <w:szCs w:val="24"/>
                    </w:rPr>
                  </w:pPr>
                </w:p>
                <w:p w:rsidR="00815492" w:rsidRPr="00F5540C" w:rsidRDefault="00815492" w:rsidP="00815492">
                  <w:pPr>
                    <w:rPr>
                      <w:b/>
                      <w:sz w:val="24"/>
                      <w:szCs w:val="24"/>
                    </w:rPr>
                  </w:pPr>
                  <w:r w:rsidRPr="00F5540C">
                    <w:rPr>
                      <w:b/>
                      <w:sz w:val="24"/>
                      <w:szCs w:val="24"/>
                    </w:rPr>
                    <w:t xml:space="preserve">Y1Feedback (2016). Technology-Enabled Feedback in first Year: A Synthesis of the Literature. Available from:  </w:t>
                  </w:r>
                  <w:hyperlink r:id="rId8" w:history="1">
                    <w:r w:rsidRPr="00F5540C">
                      <w:rPr>
                        <w:rStyle w:val="Hyperlink"/>
                        <w:b/>
                        <w:sz w:val="24"/>
                        <w:szCs w:val="24"/>
                      </w:rPr>
                      <w:t>http://y1feedback.ie</w:t>
                    </w:r>
                  </w:hyperlink>
                </w:p>
                <w:p w:rsidR="00815492" w:rsidRPr="002D7B02" w:rsidRDefault="00815492" w:rsidP="0067046E">
                  <w:pPr>
                    <w:rPr>
                      <w:b/>
                      <w:sz w:val="24"/>
                      <w:szCs w:val="24"/>
                    </w:rPr>
                  </w:pPr>
                </w:p>
                <w:p w:rsidR="00815492" w:rsidRPr="002D7B02" w:rsidRDefault="00B451BB" w:rsidP="0067046E">
                  <w:pPr>
                    <w:rPr>
                      <w:sz w:val="24"/>
                      <w:szCs w:val="24"/>
                    </w:rPr>
                  </w:pPr>
                  <w:r w:rsidRPr="002D7B02">
                    <w:rPr>
                      <w:sz w:val="24"/>
                      <w:szCs w:val="24"/>
                    </w:rPr>
                    <w:t>The Learning and Teaching Unit was involved in a successful collaborative bid  under the National Forum’s  discipline specific funding call. The project “</w:t>
                  </w:r>
                  <w:r w:rsidRPr="002D7B02">
                    <w:rPr>
                      <w:rFonts w:eastAsia="Times New Roman" w:cs="Times New Roman"/>
                      <w:sz w:val="24"/>
                      <w:szCs w:val="24"/>
                    </w:rPr>
                    <w:t xml:space="preserve">Exploring ways to enhance practical assessment using digital technologies in Science and Health programmes: the </w:t>
                  </w:r>
                  <w:r w:rsidRPr="002D7B02">
                    <w:rPr>
                      <w:rFonts w:eastAsia="Times New Roman" w:cs="Times New Roman"/>
                      <w:sz w:val="24"/>
                      <w:szCs w:val="24"/>
                    </w:rPr>
                    <w:lastRenderedPageBreak/>
                    <w:t xml:space="preserve">Technology Enhanced Assessment Methods (TEAM)”  is led by DKIT and involves IT Sligo and IT Carlow. </w:t>
                  </w:r>
                </w:p>
                <w:p w:rsidR="00815492" w:rsidRPr="002D7B02" w:rsidRDefault="00815492" w:rsidP="0067046E">
                  <w:pPr>
                    <w:rPr>
                      <w:sz w:val="24"/>
                      <w:szCs w:val="24"/>
                    </w:rPr>
                  </w:pPr>
                </w:p>
                <w:p w:rsidR="00815492" w:rsidRPr="002D7B02" w:rsidRDefault="009373B1" w:rsidP="00FD1477">
                  <w:pPr>
                    <w:rPr>
                      <w:sz w:val="24"/>
                      <w:szCs w:val="24"/>
                    </w:rPr>
                  </w:pPr>
                  <w:r w:rsidRPr="002D7B02">
                    <w:rPr>
                      <w:sz w:val="24"/>
                      <w:szCs w:val="24"/>
                    </w:rPr>
                    <w:t>The Learning and Teaching Unit conducted an evaluation of the Academic Writing Centre</w:t>
                  </w:r>
                  <w:r w:rsidR="00F71EA9" w:rsidRPr="002D7B02">
                    <w:rPr>
                      <w:sz w:val="24"/>
                      <w:szCs w:val="24"/>
                    </w:rPr>
                    <w:t xml:space="preserve"> (AWC)</w:t>
                  </w:r>
                  <w:r w:rsidRPr="002D7B02">
                    <w:rPr>
                      <w:sz w:val="24"/>
                      <w:szCs w:val="24"/>
                    </w:rPr>
                    <w:t xml:space="preserve"> which was established in 2015. </w:t>
                  </w:r>
                  <w:r w:rsidRPr="002D7B02">
                    <w:rPr>
                      <w:sz w:val="24"/>
                      <w:szCs w:val="24"/>
                      <w:lang w:val="ga-IE"/>
                    </w:rPr>
                    <w:t xml:space="preserve">The aim of the study was to evaluate this new initiative which sought to promote excellence in academic writing, to determine the benefits offered and challenges faced by the service to date, and to seek information would help develop and improve the service. Approval was sought from and granted by the AIT Research Ethics Committee for the research.  It was conducted using an online student survey and focus groups and individual, semi-structured interviews with academic staff, all of which took place in the institute throughout May 2016. </w:t>
                  </w:r>
                  <w:r w:rsidR="00F71EA9" w:rsidRPr="002D7B02">
                    <w:rPr>
                      <w:sz w:val="24"/>
                      <w:szCs w:val="24"/>
                      <w:lang w:val="ga-IE"/>
                    </w:rPr>
                    <w:t xml:space="preserve">The ensuing report </w:t>
                  </w:r>
                  <w:r w:rsidR="00F5540C">
                    <w:rPr>
                      <w:sz w:val="24"/>
                      <w:szCs w:val="24"/>
                      <w:lang w:val="ga-IE"/>
                    </w:rPr>
                    <w:t>presented to the Executive provi</w:t>
                  </w:r>
                  <w:r w:rsidR="006E4A8B">
                    <w:rPr>
                      <w:sz w:val="24"/>
                      <w:szCs w:val="24"/>
                      <w:lang w:val="ga-IE"/>
                    </w:rPr>
                    <w:t xml:space="preserve">ded the justification </w:t>
                  </w:r>
                  <w:r w:rsidR="00F71EA9" w:rsidRPr="002D7B02">
                    <w:rPr>
                      <w:sz w:val="24"/>
                      <w:szCs w:val="24"/>
                      <w:lang w:val="ga-IE"/>
                    </w:rPr>
                    <w:t>for additional resourcing for the AWC.</w:t>
                  </w:r>
                </w:p>
              </w:tc>
            </w:tr>
            <w:tr w:rsidR="00556F02" w:rsidRPr="002D7B02" w:rsidTr="007F435F">
              <w:trPr>
                <w:trHeight w:val="474"/>
              </w:trPr>
              <w:tc>
                <w:tcPr>
                  <w:tcW w:w="9667" w:type="dxa"/>
                  <w:tcBorders>
                    <w:top w:val="nil"/>
                    <w:left w:val="nil"/>
                    <w:bottom w:val="nil"/>
                    <w:right w:val="nil"/>
                  </w:tcBorders>
                </w:tcPr>
                <w:p w:rsidR="00556F02" w:rsidRPr="002D7B02" w:rsidRDefault="00556F02" w:rsidP="0067046E">
                  <w:pPr>
                    <w:ind w:left="-74"/>
                    <w:rPr>
                      <w:sz w:val="24"/>
                      <w:szCs w:val="24"/>
                    </w:rPr>
                  </w:pPr>
                </w:p>
                <w:p w:rsidR="00F71EA9" w:rsidRPr="002D7B02" w:rsidRDefault="00F71EA9" w:rsidP="00F71EA9">
                  <w:pPr>
                    <w:rPr>
                      <w:b/>
                      <w:sz w:val="24"/>
                      <w:szCs w:val="24"/>
                    </w:rPr>
                  </w:pPr>
                  <w:r w:rsidRPr="002D7B02">
                    <w:rPr>
                      <w:b/>
                      <w:sz w:val="24"/>
                      <w:szCs w:val="24"/>
                    </w:rPr>
                    <w:t>External  Representation</w:t>
                  </w:r>
                </w:p>
                <w:p w:rsidR="00F71EA9" w:rsidRPr="002D7B02" w:rsidRDefault="00F71EA9" w:rsidP="00F71EA9">
                  <w:pPr>
                    <w:rPr>
                      <w:sz w:val="24"/>
                      <w:szCs w:val="24"/>
                    </w:rPr>
                  </w:pPr>
                  <w:r w:rsidRPr="002D7B02">
                    <w:rPr>
                      <w:sz w:val="24"/>
                      <w:szCs w:val="24"/>
                    </w:rPr>
                    <w:t xml:space="preserve">Education Matters Yearbook, Editoral Team representing the IoTI. Link: </w:t>
                  </w:r>
                  <w:hyperlink r:id="rId9" w:history="1">
                    <w:r w:rsidRPr="002D7B02">
                      <w:rPr>
                        <w:rStyle w:val="Hyperlink"/>
                        <w:sz w:val="24"/>
                        <w:szCs w:val="24"/>
                      </w:rPr>
                      <w:t>http://educationmatters.ie/education-matters-yearbook/</w:t>
                    </w:r>
                  </w:hyperlink>
                </w:p>
                <w:p w:rsidR="00F71EA9" w:rsidRPr="002D7B02" w:rsidRDefault="00F71EA9" w:rsidP="0067046E">
                  <w:pPr>
                    <w:ind w:left="-74"/>
                    <w:rPr>
                      <w:sz w:val="24"/>
                      <w:szCs w:val="24"/>
                    </w:rPr>
                  </w:pPr>
                </w:p>
              </w:tc>
            </w:tr>
          </w:tbl>
          <w:p w:rsidR="0006244F" w:rsidRPr="002D7B02" w:rsidRDefault="0006244F" w:rsidP="00EA4C27">
            <w:pPr>
              <w:rPr>
                <w:sz w:val="24"/>
                <w:szCs w:val="24"/>
              </w:rPr>
            </w:pPr>
          </w:p>
        </w:tc>
      </w:tr>
    </w:tbl>
    <w:p w:rsidR="00EA4C27" w:rsidRPr="002D7B02" w:rsidRDefault="00017DD0">
      <w:pPr>
        <w:rPr>
          <w:b/>
          <w:sz w:val="24"/>
          <w:szCs w:val="24"/>
        </w:rPr>
      </w:pPr>
      <w:r w:rsidRPr="002D7B02">
        <w:rPr>
          <w:b/>
          <w:sz w:val="24"/>
          <w:szCs w:val="24"/>
        </w:rPr>
        <w:lastRenderedPageBreak/>
        <w:t>Conferences</w:t>
      </w:r>
      <w:r w:rsidR="00F71EA9" w:rsidRPr="002D7B02">
        <w:rPr>
          <w:b/>
          <w:sz w:val="24"/>
          <w:szCs w:val="24"/>
        </w:rPr>
        <w:t xml:space="preserve"> and dissemination activities</w:t>
      </w:r>
    </w:p>
    <w:p w:rsidR="00017DD0" w:rsidRPr="002D7B02" w:rsidRDefault="00017DD0" w:rsidP="00017DD0">
      <w:pPr>
        <w:pStyle w:val="NormalWeb"/>
        <w:rPr>
          <w:rFonts w:asciiTheme="minorHAnsi" w:hAnsiTheme="minorHAnsi"/>
        </w:rPr>
      </w:pPr>
      <w:r w:rsidRPr="002D7B02">
        <w:rPr>
          <w:rFonts w:asciiTheme="minorHAnsi" w:hAnsiTheme="minorHAnsi"/>
        </w:rPr>
        <w:t xml:space="preserve">“Y1Feedback: Technology Enhanced Feedback Approaches for First Year”.  O’Regan, L., Munro, M., Maguire, M., Harding, N., Brown, M., McDermott, G., Gallagher, G., Cranny, D., McKevitt,  C., Ryan, S. SEDA </w:t>
      </w:r>
      <w:r w:rsidRPr="002D7B02">
        <w:rPr>
          <w:rFonts w:asciiTheme="minorHAnsi" w:eastAsiaTheme="minorHAnsi" w:hAnsiTheme="minorHAnsi"/>
          <w:lang w:eastAsia="en-US"/>
        </w:rPr>
        <w:t>Spring Teaching and Learning and Assessment Conference 2016, The Carlton Hotel, Edinburugh, Scotland, May 12-13</w:t>
      </w:r>
      <w:r w:rsidRPr="002D7B02">
        <w:rPr>
          <w:rFonts w:asciiTheme="minorHAnsi" w:eastAsiaTheme="minorHAnsi" w:hAnsiTheme="minorHAnsi"/>
          <w:vertAlign w:val="superscript"/>
          <w:lang w:eastAsia="en-US"/>
        </w:rPr>
        <w:t>th</w:t>
      </w:r>
      <w:r w:rsidRPr="002D7B02">
        <w:rPr>
          <w:rFonts w:asciiTheme="minorHAnsi" w:eastAsiaTheme="minorHAnsi" w:hAnsiTheme="minorHAnsi"/>
          <w:lang w:eastAsia="en-US"/>
        </w:rPr>
        <w:t xml:space="preserve"> 2016.</w:t>
      </w:r>
    </w:p>
    <w:p w:rsidR="00017DD0" w:rsidRPr="002D7B02" w:rsidRDefault="00017DD0" w:rsidP="00017DD0">
      <w:pPr>
        <w:tabs>
          <w:tab w:val="left" w:pos="2127"/>
        </w:tabs>
        <w:spacing w:before="100" w:beforeAutospacing="1" w:afterAutospacing="1"/>
        <w:jc w:val="both"/>
        <w:outlineLvl w:val="0"/>
        <w:rPr>
          <w:rFonts w:eastAsia="Times New Roman" w:cs="Times New Roman"/>
          <w:bCs/>
          <w:kern w:val="36"/>
          <w:sz w:val="24"/>
          <w:szCs w:val="24"/>
          <w:lang w:eastAsia="en-IE"/>
        </w:rPr>
      </w:pPr>
      <w:r w:rsidRPr="002D7B02">
        <w:rPr>
          <w:rFonts w:eastAsia="Times New Roman" w:cs="Times New Roman"/>
          <w:bCs/>
          <w:kern w:val="36"/>
          <w:sz w:val="24"/>
          <w:szCs w:val="24"/>
          <w:lang w:eastAsia="en-IE"/>
        </w:rPr>
        <w:t>‘Making the transition to third level - different voices and different experiences’, Harding, N., Ryan T. and Walsh, A. National Forum Seminar, Global Room, Hamilton Building. Trinity College Dublin, February 26</w:t>
      </w:r>
      <w:r w:rsidRPr="002D7B02">
        <w:rPr>
          <w:rFonts w:eastAsia="Times New Roman" w:cs="Times New Roman"/>
          <w:bCs/>
          <w:kern w:val="36"/>
          <w:sz w:val="24"/>
          <w:szCs w:val="24"/>
          <w:vertAlign w:val="superscript"/>
          <w:lang w:eastAsia="en-IE"/>
        </w:rPr>
        <w:t>th</w:t>
      </w:r>
      <w:r w:rsidRPr="002D7B02">
        <w:rPr>
          <w:rFonts w:eastAsia="Times New Roman" w:cs="Times New Roman"/>
          <w:bCs/>
          <w:kern w:val="36"/>
          <w:sz w:val="24"/>
          <w:szCs w:val="24"/>
          <w:lang w:eastAsia="en-IE"/>
        </w:rPr>
        <w:t xml:space="preserve"> 2015.</w:t>
      </w:r>
    </w:p>
    <w:p w:rsidR="00017DD0" w:rsidRPr="002D7B02" w:rsidRDefault="00017DD0" w:rsidP="00017DD0">
      <w:pPr>
        <w:pStyle w:val="Heading1"/>
        <w:spacing w:before="300" w:after="150"/>
        <w:rPr>
          <w:rFonts w:asciiTheme="minorHAnsi" w:eastAsia="Times New Roman" w:hAnsiTheme="minorHAnsi" w:cs="Times New Roman"/>
          <w:color w:val="auto"/>
          <w:sz w:val="24"/>
          <w:szCs w:val="24"/>
        </w:rPr>
      </w:pPr>
      <w:r w:rsidRPr="002D7B02">
        <w:rPr>
          <w:rFonts w:asciiTheme="minorHAnsi" w:eastAsia="Times New Roman" w:hAnsiTheme="minorHAnsi" w:cs="Times New Roman"/>
          <w:color w:val="auto"/>
          <w:sz w:val="24"/>
          <w:szCs w:val="24"/>
        </w:rPr>
        <w:t xml:space="preserve">“Exploring ways to enhance practical assessment using digital technologies in Science and Health </w:t>
      </w:r>
      <w:proofErr w:type="spellStart"/>
      <w:r w:rsidRPr="002D7B02">
        <w:rPr>
          <w:rFonts w:asciiTheme="minorHAnsi" w:eastAsia="Times New Roman" w:hAnsiTheme="minorHAnsi" w:cs="Times New Roman"/>
          <w:color w:val="auto"/>
          <w:sz w:val="24"/>
          <w:szCs w:val="24"/>
        </w:rPr>
        <w:t>programmes</w:t>
      </w:r>
      <w:proofErr w:type="spellEnd"/>
      <w:r w:rsidRPr="002D7B02">
        <w:rPr>
          <w:rFonts w:asciiTheme="minorHAnsi" w:eastAsia="Times New Roman" w:hAnsiTheme="minorHAnsi" w:cs="Times New Roman"/>
          <w:color w:val="auto"/>
          <w:sz w:val="24"/>
          <w:szCs w:val="24"/>
        </w:rPr>
        <w:t xml:space="preserve">: the Technology Enhanced Assessment Methods (TEAM) project approach” Bree, R., Healy, E., Maguire, M., Faller, D., Harding, N., Mulvihill, A., Brazil, D., Dowling, D., </w:t>
      </w:r>
      <w:proofErr w:type="spellStart"/>
      <w:r w:rsidRPr="002D7B02">
        <w:rPr>
          <w:rFonts w:asciiTheme="minorHAnsi" w:eastAsia="Times New Roman" w:hAnsiTheme="minorHAnsi" w:cs="Times New Roman"/>
          <w:color w:val="auto"/>
          <w:sz w:val="24"/>
          <w:szCs w:val="24"/>
        </w:rPr>
        <w:t>Akande</w:t>
      </w:r>
      <w:proofErr w:type="spellEnd"/>
      <w:r w:rsidRPr="002D7B02">
        <w:rPr>
          <w:rFonts w:asciiTheme="minorHAnsi" w:eastAsia="Times New Roman" w:hAnsiTheme="minorHAnsi" w:cs="Times New Roman"/>
          <w:color w:val="auto"/>
          <w:sz w:val="24"/>
          <w:szCs w:val="24"/>
        </w:rPr>
        <w:t>, A., Bird, J., Doyle, D. EDTECH The 17</w:t>
      </w:r>
      <w:r w:rsidRPr="002D7B02">
        <w:rPr>
          <w:rFonts w:asciiTheme="minorHAnsi" w:eastAsia="Times New Roman" w:hAnsiTheme="minorHAnsi" w:cs="Times New Roman"/>
          <w:color w:val="auto"/>
          <w:sz w:val="24"/>
          <w:szCs w:val="24"/>
          <w:vertAlign w:val="superscript"/>
        </w:rPr>
        <w:t>th</w:t>
      </w:r>
      <w:r w:rsidRPr="002D7B02">
        <w:rPr>
          <w:rFonts w:asciiTheme="minorHAnsi" w:eastAsia="Times New Roman" w:hAnsiTheme="minorHAnsi" w:cs="Times New Roman"/>
          <w:color w:val="auto"/>
          <w:sz w:val="24"/>
          <w:szCs w:val="24"/>
        </w:rPr>
        <w:t xml:space="preserve"> Educational Technology Conference of the Irish Learning Technology Ass</w:t>
      </w:r>
      <w:r w:rsidR="000A5BCE">
        <w:rPr>
          <w:rFonts w:asciiTheme="minorHAnsi" w:eastAsia="Times New Roman" w:hAnsiTheme="minorHAnsi" w:cs="Times New Roman"/>
          <w:color w:val="auto"/>
          <w:sz w:val="24"/>
          <w:szCs w:val="24"/>
        </w:rPr>
        <w:t xml:space="preserve">ociation. Law Society, Dublin, </w:t>
      </w:r>
      <w:r w:rsidRPr="002D7B02">
        <w:rPr>
          <w:rFonts w:asciiTheme="minorHAnsi" w:eastAsia="Times New Roman" w:hAnsiTheme="minorHAnsi" w:cs="Times New Roman"/>
          <w:color w:val="auto"/>
          <w:sz w:val="24"/>
          <w:szCs w:val="24"/>
        </w:rPr>
        <w:t>Ireland, May 26</w:t>
      </w:r>
      <w:r w:rsidRPr="002D7B02">
        <w:rPr>
          <w:rFonts w:asciiTheme="minorHAnsi" w:eastAsia="Times New Roman" w:hAnsiTheme="minorHAnsi" w:cs="Times New Roman"/>
          <w:color w:val="auto"/>
          <w:sz w:val="24"/>
          <w:szCs w:val="24"/>
          <w:vertAlign w:val="superscript"/>
        </w:rPr>
        <w:t>th</w:t>
      </w:r>
      <w:r w:rsidRPr="002D7B02">
        <w:rPr>
          <w:rFonts w:asciiTheme="minorHAnsi" w:eastAsia="Times New Roman" w:hAnsiTheme="minorHAnsi" w:cs="Times New Roman"/>
          <w:color w:val="auto"/>
          <w:sz w:val="24"/>
          <w:szCs w:val="24"/>
        </w:rPr>
        <w:t xml:space="preserve"> – 27</w:t>
      </w:r>
      <w:r w:rsidRPr="002D7B02">
        <w:rPr>
          <w:rFonts w:asciiTheme="minorHAnsi" w:eastAsia="Times New Roman" w:hAnsiTheme="minorHAnsi" w:cs="Times New Roman"/>
          <w:color w:val="auto"/>
          <w:sz w:val="24"/>
          <w:szCs w:val="24"/>
          <w:vertAlign w:val="superscript"/>
        </w:rPr>
        <w:t>th</w:t>
      </w:r>
      <w:r w:rsidRPr="002D7B02">
        <w:rPr>
          <w:rFonts w:asciiTheme="minorHAnsi" w:eastAsia="Times New Roman" w:hAnsiTheme="minorHAnsi" w:cs="Times New Roman"/>
          <w:color w:val="auto"/>
          <w:sz w:val="24"/>
          <w:szCs w:val="24"/>
        </w:rPr>
        <w:t xml:space="preserve"> 2016.</w:t>
      </w:r>
    </w:p>
    <w:p w:rsidR="00017DD0" w:rsidRPr="002D7B02" w:rsidRDefault="00017DD0" w:rsidP="00017DD0">
      <w:pPr>
        <w:rPr>
          <w:rFonts w:eastAsia="Times New Roman" w:cs="Times New Roman"/>
          <w:sz w:val="24"/>
          <w:szCs w:val="24"/>
        </w:rPr>
      </w:pPr>
      <w:r w:rsidRPr="002D7B02">
        <w:rPr>
          <w:rFonts w:eastAsia="Times New Roman" w:cs="Times New Roman"/>
          <w:sz w:val="24"/>
          <w:szCs w:val="24"/>
        </w:rPr>
        <w:t xml:space="preserve"> “Y1Feedback: Technology-Enabled Feedback Approaches for First Year” O’Regan, L., Harding, N., Brown, M., Maguire, M., Munro, M., Gallagher, G., McDermott, G., Ryan, S., Cranny, D., McKevitt,  C., Farrell, O. EDTECH The 17</w:t>
      </w:r>
      <w:r w:rsidRPr="002D7B02">
        <w:rPr>
          <w:rFonts w:eastAsia="Times New Roman" w:cs="Times New Roman"/>
          <w:sz w:val="24"/>
          <w:szCs w:val="24"/>
          <w:vertAlign w:val="superscript"/>
        </w:rPr>
        <w:t>th</w:t>
      </w:r>
      <w:r w:rsidRPr="002D7B02">
        <w:rPr>
          <w:rFonts w:eastAsia="Times New Roman" w:cs="Times New Roman"/>
          <w:sz w:val="24"/>
          <w:szCs w:val="24"/>
        </w:rPr>
        <w:t xml:space="preserve"> Educational Technology Conference of the Irish Learning Technology Association. Law Society, Dublin,  Ireland, May 26</w:t>
      </w:r>
      <w:r w:rsidRPr="002D7B02">
        <w:rPr>
          <w:rFonts w:eastAsia="Times New Roman" w:cs="Times New Roman"/>
          <w:sz w:val="24"/>
          <w:szCs w:val="24"/>
          <w:vertAlign w:val="superscript"/>
        </w:rPr>
        <w:t>th</w:t>
      </w:r>
      <w:r w:rsidRPr="002D7B02">
        <w:rPr>
          <w:rFonts w:eastAsia="Times New Roman" w:cs="Times New Roman"/>
          <w:sz w:val="24"/>
          <w:szCs w:val="24"/>
        </w:rPr>
        <w:t xml:space="preserve"> – 27</w:t>
      </w:r>
      <w:r w:rsidRPr="002D7B02">
        <w:rPr>
          <w:rFonts w:eastAsia="Times New Roman" w:cs="Times New Roman"/>
          <w:sz w:val="24"/>
          <w:szCs w:val="24"/>
          <w:vertAlign w:val="superscript"/>
        </w:rPr>
        <w:t>th</w:t>
      </w:r>
      <w:r w:rsidRPr="002D7B02">
        <w:rPr>
          <w:rFonts w:eastAsia="Times New Roman" w:cs="Times New Roman"/>
          <w:sz w:val="24"/>
          <w:szCs w:val="24"/>
        </w:rPr>
        <w:t xml:space="preserve"> 2016.</w:t>
      </w:r>
    </w:p>
    <w:p w:rsidR="00017DD0" w:rsidRPr="002D7B02" w:rsidRDefault="00017DD0" w:rsidP="00017DD0">
      <w:pPr>
        <w:rPr>
          <w:rFonts w:eastAsia="Times New Roman" w:cs="Times New Roman"/>
          <w:sz w:val="24"/>
          <w:szCs w:val="24"/>
        </w:rPr>
      </w:pPr>
      <w:r w:rsidRPr="002D7B02">
        <w:rPr>
          <w:rFonts w:eastAsia="Times New Roman" w:cs="Times New Roman"/>
          <w:sz w:val="24"/>
          <w:szCs w:val="24"/>
        </w:rPr>
        <w:t xml:space="preserve"> “VLEs – What Lecturers Want and Do”. Farrelly, T., O’Grady, M., Rafetery, D., Risquez, A., Harding, N., McAvinia, C., Costello, E., McSweeney, D., Logan-Phelan, T. EDTECH The 17</w:t>
      </w:r>
      <w:r w:rsidRPr="002D7B02">
        <w:rPr>
          <w:rFonts w:eastAsia="Times New Roman" w:cs="Times New Roman"/>
          <w:sz w:val="24"/>
          <w:szCs w:val="24"/>
          <w:vertAlign w:val="superscript"/>
        </w:rPr>
        <w:t>th</w:t>
      </w:r>
      <w:r w:rsidRPr="002D7B02">
        <w:rPr>
          <w:rFonts w:eastAsia="Times New Roman" w:cs="Times New Roman"/>
          <w:sz w:val="24"/>
          <w:szCs w:val="24"/>
        </w:rPr>
        <w:t xml:space="preserve"> Educational Technology Conference of the Irish Learning Technology Association. Law Society, Dublin,  Ireland, May 26</w:t>
      </w:r>
      <w:r w:rsidRPr="002D7B02">
        <w:rPr>
          <w:rFonts w:eastAsia="Times New Roman" w:cs="Times New Roman"/>
          <w:sz w:val="24"/>
          <w:szCs w:val="24"/>
          <w:vertAlign w:val="superscript"/>
        </w:rPr>
        <w:t>th</w:t>
      </w:r>
      <w:r w:rsidRPr="002D7B02">
        <w:rPr>
          <w:rFonts w:eastAsia="Times New Roman" w:cs="Times New Roman"/>
          <w:sz w:val="24"/>
          <w:szCs w:val="24"/>
        </w:rPr>
        <w:t xml:space="preserve"> – 27</w:t>
      </w:r>
      <w:r w:rsidRPr="002D7B02">
        <w:rPr>
          <w:rFonts w:eastAsia="Times New Roman" w:cs="Times New Roman"/>
          <w:sz w:val="24"/>
          <w:szCs w:val="24"/>
          <w:vertAlign w:val="superscript"/>
        </w:rPr>
        <w:t>th</w:t>
      </w:r>
      <w:r w:rsidRPr="002D7B02">
        <w:rPr>
          <w:rFonts w:eastAsia="Times New Roman" w:cs="Times New Roman"/>
          <w:sz w:val="24"/>
          <w:szCs w:val="24"/>
        </w:rPr>
        <w:t xml:space="preserve"> 2016.</w:t>
      </w:r>
    </w:p>
    <w:p w:rsidR="00017DD0" w:rsidRPr="002D7B02" w:rsidRDefault="00017DD0" w:rsidP="00017DD0">
      <w:pPr>
        <w:tabs>
          <w:tab w:val="left" w:pos="2127"/>
        </w:tabs>
        <w:autoSpaceDE w:val="0"/>
        <w:autoSpaceDN w:val="0"/>
        <w:adjustRightInd w:val="0"/>
        <w:jc w:val="both"/>
        <w:rPr>
          <w:bCs/>
          <w:sz w:val="24"/>
          <w:szCs w:val="24"/>
        </w:rPr>
      </w:pPr>
      <w:r w:rsidRPr="002D7B02">
        <w:rPr>
          <w:bCs/>
          <w:sz w:val="24"/>
          <w:szCs w:val="24"/>
        </w:rPr>
        <w:t xml:space="preserve">‘Supporting Transition: Enhancing (Assessment) Feedback in First Year using Digital Technologies. A Current Practice Review.’ O’Regan, L., Walsh, E., Brown, M., Maguire, M., </w:t>
      </w:r>
      <w:r w:rsidRPr="002D7B02">
        <w:rPr>
          <w:bCs/>
          <w:sz w:val="24"/>
          <w:szCs w:val="24"/>
        </w:rPr>
        <w:lastRenderedPageBreak/>
        <w:t>Gallagher, G., Harding, N., &amp; McDermott, G. The Online, Open and Flexible Learning Conference, Hagen, Germany, 29-30 October 2015.</w:t>
      </w:r>
    </w:p>
    <w:p w:rsidR="00017DD0" w:rsidRPr="002D7B02" w:rsidRDefault="00017DD0" w:rsidP="00017DD0">
      <w:pPr>
        <w:tabs>
          <w:tab w:val="left" w:pos="2127"/>
        </w:tabs>
        <w:autoSpaceDE w:val="0"/>
        <w:autoSpaceDN w:val="0"/>
        <w:adjustRightInd w:val="0"/>
        <w:ind w:right="578"/>
        <w:contextualSpacing/>
        <w:jc w:val="both"/>
        <w:rPr>
          <w:bCs/>
          <w:sz w:val="24"/>
          <w:szCs w:val="24"/>
        </w:rPr>
      </w:pPr>
      <w:r w:rsidRPr="002D7B02">
        <w:rPr>
          <w:bCs/>
          <w:sz w:val="24"/>
          <w:szCs w:val="24"/>
        </w:rPr>
        <w:t>‘A Flexible Approach to Transforming Academic Professional Development, Harding, N., Fannon, L., Mcdermott, G., McMahon, M., Palmer, M., Russell, M.  The Online, Open and Flexible Learning Conference, Hagen Germany 29-30 October 2015.</w:t>
      </w:r>
    </w:p>
    <w:p w:rsidR="00017DD0" w:rsidRPr="002D7B02" w:rsidRDefault="00017DD0" w:rsidP="00017DD0">
      <w:pPr>
        <w:tabs>
          <w:tab w:val="left" w:pos="2127"/>
        </w:tabs>
        <w:autoSpaceDE w:val="0"/>
        <w:autoSpaceDN w:val="0"/>
        <w:adjustRightInd w:val="0"/>
        <w:ind w:right="578"/>
        <w:contextualSpacing/>
        <w:jc w:val="both"/>
        <w:rPr>
          <w:bCs/>
          <w:sz w:val="24"/>
          <w:szCs w:val="24"/>
        </w:rPr>
      </w:pPr>
    </w:p>
    <w:p w:rsidR="00017DD0" w:rsidRPr="002D7B02" w:rsidRDefault="00017DD0" w:rsidP="00B003C6">
      <w:pPr>
        <w:tabs>
          <w:tab w:val="left" w:pos="2127"/>
        </w:tabs>
        <w:autoSpaceDE w:val="0"/>
        <w:autoSpaceDN w:val="0"/>
        <w:adjustRightInd w:val="0"/>
        <w:ind w:right="578"/>
        <w:contextualSpacing/>
        <w:jc w:val="both"/>
        <w:rPr>
          <w:sz w:val="24"/>
          <w:szCs w:val="24"/>
        </w:rPr>
      </w:pPr>
      <w:r w:rsidRPr="002D7B02">
        <w:rPr>
          <w:bCs/>
          <w:sz w:val="24"/>
          <w:szCs w:val="24"/>
        </w:rPr>
        <w:t>‘Retention and Transitions – Addressing the Challenges and Opportunities’, Ginty, C. and Harding, N. Keynote presentation at the Limerick Institute of Technology staff development day, February 12</w:t>
      </w:r>
      <w:r w:rsidRPr="002D7B02">
        <w:rPr>
          <w:bCs/>
          <w:sz w:val="24"/>
          <w:szCs w:val="24"/>
          <w:vertAlign w:val="superscript"/>
        </w:rPr>
        <w:t>th</w:t>
      </w:r>
      <w:r w:rsidRPr="002D7B02">
        <w:rPr>
          <w:bCs/>
          <w:sz w:val="24"/>
          <w:szCs w:val="24"/>
        </w:rPr>
        <w:t xml:space="preserve"> 2015.</w:t>
      </w:r>
    </w:p>
    <w:sectPr w:rsidR="00017DD0" w:rsidRPr="002D7B02" w:rsidSect="007F435F">
      <w:pgSz w:w="11906" w:h="16838"/>
      <w:pgMar w:top="1134" w:right="1440" w:bottom="1134"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57D6B"/>
    <w:multiLevelType w:val="hybridMultilevel"/>
    <w:tmpl w:val="ADE0D4FA"/>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 w15:restartNumberingAfterBreak="0">
    <w:nsid w:val="0AD6714C"/>
    <w:multiLevelType w:val="hybridMultilevel"/>
    <w:tmpl w:val="9C18DD58"/>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 w15:restartNumberingAfterBreak="0">
    <w:nsid w:val="2F2150AE"/>
    <w:multiLevelType w:val="hybridMultilevel"/>
    <w:tmpl w:val="AE081E0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 w15:restartNumberingAfterBreak="0">
    <w:nsid w:val="39400342"/>
    <w:multiLevelType w:val="hybridMultilevel"/>
    <w:tmpl w:val="42D2DA6C"/>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4" w15:restartNumberingAfterBreak="0">
    <w:nsid w:val="39762C40"/>
    <w:multiLevelType w:val="hybridMultilevel"/>
    <w:tmpl w:val="A75E445E"/>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5" w15:restartNumberingAfterBreak="0">
    <w:nsid w:val="402348B3"/>
    <w:multiLevelType w:val="hybridMultilevel"/>
    <w:tmpl w:val="5D96D32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6" w15:restartNumberingAfterBreak="0">
    <w:nsid w:val="41AF1E76"/>
    <w:multiLevelType w:val="hybridMultilevel"/>
    <w:tmpl w:val="81CE2B6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61FE0AA8"/>
    <w:multiLevelType w:val="hybridMultilevel"/>
    <w:tmpl w:val="0DAE0F7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623026C1"/>
    <w:multiLevelType w:val="hybridMultilevel"/>
    <w:tmpl w:val="03A29FC2"/>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9" w15:restartNumberingAfterBreak="0">
    <w:nsid w:val="7A9B6948"/>
    <w:multiLevelType w:val="hybridMultilevel"/>
    <w:tmpl w:val="90C2CBE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5"/>
  </w:num>
  <w:num w:numId="4">
    <w:abstractNumId w:val="1"/>
  </w:num>
  <w:num w:numId="5">
    <w:abstractNumId w:val="8"/>
  </w:num>
  <w:num w:numId="6">
    <w:abstractNumId w:val="0"/>
  </w:num>
  <w:num w:numId="7">
    <w:abstractNumId w:val="4"/>
  </w:num>
  <w:num w:numId="8">
    <w:abstractNumId w:val="3"/>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FC1"/>
    <w:rsid w:val="00017DD0"/>
    <w:rsid w:val="000308C7"/>
    <w:rsid w:val="00031B88"/>
    <w:rsid w:val="0006244F"/>
    <w:rsid w:val="000A4745"/>
    <w:rsid w:val="000A5BCE"/>
    <w:rsid w:val="000E1497"/>
    <w:rsid w:val="00125284"/>
    <w:rsid w:val="001C7ED9"/>
    <w:rsid w:val="001F5C10"/>
    <w:rsid w:val="00252FC1"/>
    <w:rsid w:val="00265E01"/>
    <w:rsid w:val="002D7B02"/>
    <w:rsid w:val="00301D86"/>
    <w:rsid w:val="00317A08"/>
    <w:rsid w:val="00333794"/>
    <w:rsid w:val="003416B0"/>
    <w:rsid w:val="00364A28"/>
    <w:rsid w:val="00364CB8"/>
    <w:rsid w:val="003D04C3"/>
    <w:rsid w:val="0045335A"/>
    <w:rsid w:val="00463E44"/>
    <w:rsid w:val="004715E1"/>
    <w:rsid w:val="004D6159"/>
    <w:rsid w:val="00556F02"/>
    <w:rsid w:val="0056520A"/>
    <w:rsid w:val="005A2692"/>
    <w:rsid w:val="006202BA"/>
    <w:rsid w:val="0067046E"/>
    <w:rsid w:val="00685416"/>
    <w:rsid w:val="006C6B16"/>
    <w:rsid w:val="006E14EB"/>
    <w:rsid w:val="006E4887"/>
    <w:rsid w:val="006E4A8B"/>
    <w:rsid w:val="006F5E10"/>
    <w:rsid w:val="00781A88"/>
    <w:rsid w:val="00784342"/>
    <w:rsid w:val="00791785"/>
    <w:rsid w:val="007A4DD5"/>
    <w:rsid w:val="007D3725"/>
    <w:rsid w:val="007D7B32"/>
    <w:rsid w:val="007E6B19"/>
    <w:rsid w:val="007F435F"/>
    <w:rsid w:val="007F5689"/>
    <w:rsid w:val="0080767D"/>
    <w:rsid w:val="00811F59"/>
    <w:rsid w:val="00815492"/>
    <w:rsid w:val="008559BC"/>
    <w:rsid w:val="00876B22"/>
    <w:rsid w:val="008E1994"/>
    <w:rsid w:val="008F5F97"/>
    <w:rsid w:val="009373B1"/>
    <w:rsid w:val="009B7D09"/>
    <w:rsid w:val="009E63DD"/>
    <w:rsid w:val="00B003C6"/>
    <w:rsid w:val="00B02E08"/>
    <w:rsid w:val="00B15B42"/>
    <w:rsid w:val="00B44EA7"/>
    <w:rsid w:val="00B451BB"/>
    <w:rsid w:val="00BE1D4C"/>
    <w:rsid w:val="00C01B33"/>
    <w:rsid w:val="00C22F88"/>
    <w:rsid w:val="00C41129"/>
    <w:rsid w:val="00CA6E06"/>
    <w:rsid w:val="00D13317"/>
    <w:rsid w:val="00D9360D"/>
    <w:rsid w:val="00DA52E8"/>
    <w:rsid w:val="00DE5141"/>
    <w:rsid w:val="00E5574E"/>
    <w:rsid w:val="00E63767"/>
    <w:rsid w:val="00EA4C27"/>
    <w:rsid w:val="00EC0BF8"/>
    <w:rsid w:val="00F5540C"/>
    <w:rsid w:val="00F71EA9"/>
    <w:rsid w:val="00F913C2"/>
    <w:rsid w:val="00FD1477"/>
    <w:rsid w:val="00FD6D0E"/>
    <w:rsid w:val="00FE062B"/>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742A6560-441E-48F1-A87B-DD8DC7901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17DD0"/>
    <w:pPr>
      <w:keepNext/>
      <w:keepLines/>
      <w:spacing w:before="240" w:after="0" w:line="240" w:lineRule="auto"/>
      <w:ind w:right="576"/>
      <w:outlineLvl w:val="0"/>
    </w:pPr>
    <w:rPr>
      <w:rFonts w:asciiTheme="majorHAnsi" w:eastAsiaTheme="majorEastAsia" w:hAnsiTheme="majorHAnsi" w:cstheme="majorBidi"/>
      <w:color w:val="2E74B5" w:themeColor="accent1" w:themeShade="BF"/>
      <w:sz w:val="32"/>
      <w:szCs w:val="32"/>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52F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52FC1"/>
    <w:rPr>
      <w:color w:val="0563C1"/>
      <w:u w:val="single"/>
    </w:rPr>
  </w:style>
  <w:style w:type="paragraph" w:styleId="ListParagraph">
    <w:name w:val="List Paragraph"/>
    <w:basedOn w:val="Normal"/>
    <w:uiPriority w:val="34"/>
    <w:qFormat/>
    <w:rsid w:val="00EC0BF8"/>
    <w:pPr>
      <w:ind w:left="720"/>
      <w:contextualSpacing/>
    </w:pPr>
  </w:style>
  <w:style w:type="character" w:styleId="FollowedHyperlink">
    <w:name w:val="FollowedHyperlink"/>
    <w:basedOn w:val="DefaultParagraphFont"/>
    <w:uiPriority w:val="99"/>
    <w:semiHidden/>
    <w:unhideWhenUsed/>
    <w:rsid w:val="00D13317"/>
    <w:rPr>
      <w:color w:val="954F72" w:themeColor="followedHyperlink"/>
      <w:u w:val="single"/>
    </w:rPr>
  </w:style>
  <w:style w:type="character" w:styleId="Strong">
    <w:name w:val="Strong"/>
    <w:basedOn w:val="DefaultParagraphFont"/>
    <w:uiPriority w:val="22"/>
    <w:qFormat/>
    <w:rsid w:val="00B02E08"/>
    <w:rPr>
      <w:b/>
      <w:bCs/>
    </w:rPr>
  </w:style>
  <w:style w:type="paragraph" w:styleId="NormalWeb">
    <w:name w:val="Normal (Web)"/>
    <w:basedOn w:val="Normal"/>
    <w:uiPriority w:val="99"/>
    <w:semiHidden/>
    <w:unhideWhenUsed/>
    <w:rsid w:val="00017DD0"/>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customStyle="1" w:styleId="Heading1Char">
    <w:name w:val="Heading 1 Char"/>
    <w:basedOn w:val="DefaultParagraphFont"/>
    <w:link w:val="Heading1"/>
    <w:uiPriority w:val="9"/>
    <w:rsid w:val="00017DD0"/>
    <w:rPr>
      <w:rFonts w:asciiTheme="majorHAnsi" w:eastAsiaTheme="majorEastAsia" w:hAnsiTheme="majorHAnsi" w:cstheme="majorBidi"/>
      <w:color w:val="2E74B5" w:themeColor="accent1" w:themeShade="BF"/>
      <w:sz w:val="32"/>
      <w:szCs w:val="3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2057747">
      <w:bodyDiv w:val="1"/>
      <w:marLeft w:val="0"/>
      <w:marRight w:val="0"/>
      <w:marTop w:val="0"/>
      <w:marBottom w:val="0"/>
      <w:divBdr>
        <w:top w:val="none" w:sz="0" w:space="0" w:color="auto"/>
        <w:left w:val="none" w:sz="0" w:space="0" w:color="auto"/>
        <w:bottom w:val="none" w:sz="0" w:space="0" w:color="auto"/>
        <w:right w:val="none" w:sz="0" w:space="0" w:color="auto"/>
      </w:divBdr>
    </w:div>
    <w:div w:id="1826311270">
      <w:bodyDiv w:val="1"/>
      <w:marLeft w:val="0"/>
      <w:marRight w:val="0"/>
      <w:marTop w:val="0"/>
      <w:marBottom w:val="0"/>
      <w:divBdr>
        <w:top w:val="none" w:sz="0" w:space="0" w:color="auto"/>
        <w:left w:val="none" w:sz="0" w:space="0" w:color="auto"/>
        <w:bottom w:val="none" w:sz="0" w:space="0" w:color="auto"/>
        <w:right w:val="none" w:sz="0" w:space="0" w:color="auto"/>
      </w:divBdr>
    </w:div>
    <w:div w:id="1903321616">
      <w:bodyDiv w:val="1"/>
      <w:marLeft w:val="0"/>
      <w:marRight w:val="0"/>
      <w:marTop w:val="0"/>
      <w:marBottom w:val="0"/>
      <w:divBdr>
        <w:top w:val="none" w:sz="0" w:space="0" w:color="auto"/>
        <w:left w:val="none" w:sz="0" w:space="0" w:color="auto"/>
        <w:bottom w:val="none" w:sz="0" w:space="0" w:color="auto"/>
        <w:right w:val="none" w:sz="0" w:space="0" w:color="auto"/>
      </w:divBdr>
    </w:div>
    <w:div w:id="1943411071">
      <w:bodyDiv w:val="1"/>
      <w:marLeft w:val="0"/>
      <w:marRight w:val="0"/>
      <w:marTop w:val="0"/>
      <w:marBottom w:val="0"/>
      <w:divBdr>
        <w:top w:val="none" w:sz="0" w:space="0" w:color="auto"/>
        <w:left w:val="none" w:sz="0" w:space="0" w:color="auto"/>
        <w:bottom w:val="none" w:sz="0" w:space="0" w:color="auto"/>
        <w:right w:val="none" w:sz="0" w:space="0" w:color="auto"/>
      </w:divBdr>
      <w:divsChild>
        <w:div w:id="648024892">
          <w:marLeft w:val="547"/>
          <w:marRight w:val="0"/>
          <w:marTop w:val="86"/>
          <w:marBottom w:val="0"/>
          <w:divBdr>
            <w:top w:val="none" w:sz="0" w:space="0" w:color="auto"/>
            <w:left w:val="none" w:sz="0" w:space="0" w:color="auto"/>
            <w:bottom w:val="none" w:sz="0" w:space="0" w:color="auto"/>
            <w:right w:val="none" w:sz="0" w:space="0" w:color="auto"/>
          </w:divBdr>
        </w:div>
      </w:divsChild>
    </w:div>
    <w:div w:id="2022007468">
      <w:bodyDiv w:val="1"/>
      <w:marLeft w:val="0"/>
      <w:marRight w:val="0"/>
      <w:marTop w:val="0"/>
      <w:marBottom w:val="0"/>
      <w:divBdr>
        <w:top w:val="none" w:sz="0" w:space="0" w:color="auto"/>
        <w:left w:val="none" w:sz="0" w:space="0" w:color="auto"/>
        <w:bottom w:val="none" w:sz="0" w:space="0" w:color="auto"/>
        <w:right w:val="none" w:sz="0" w:space="0" w:color="auto"/>
      </w:divBdr>
    </w:div>
    <w:div w:id="20269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y1feedback.ie" TargetMode="External"/><Relationship Id="rId3" Type="http://schemas.openxmlformats.org/officeDocument/2006/relationships/settings" Target="settings.xml"/><Relationship Id="rId7" Type="http://schemas.openxmlformats.org/officeDocument/2006/relationships/hyperlink" Target="http://y1feedback.i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y1feedback.ie" TargetMode="External"/><Relationship Id="rId11" Type="http://schemas.openxmlformats.org/officeDocument/2006/relationships/theme" Target="theme/theme1.xml"/><Relationship Id="rId5" Type="http://schemas.openxmlformats.org/officeDocument/2006/relationships/hyperlink" Target="http://www.teachingandlearning.ie/digital-enhancement-funding/showcasing-and-developing-digital-capacity-tel-week-projects-febmarch-2016/technology-enhanced-learning-what-works-and-why-2/"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ducationmatters.ie/education-matters-yearboo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1364</Words>
  <Characters>7780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Mannion</dc:creator>
  <cp:keywords/>
  <dc:description/>
  <cp:lastModifiedBy>Cora McCormack</cp:lastModifiedBy>
  <cp:revision>2</cp:revision>
  <dcterms:created xsi:type="dcterms:W3CDTF">2017-03-07T15:15:00Z</dcterms:created>
  <dcterms:modified xsi:type="dcterms:W3CDTF">2017-03-07T15:15:00Z</dcterms:modified>
</cp:coreProperties>
</file>